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EDD8" w14:textId="77133D9B" w:rsidR="00002D5D" w:rsidRDefault="00002D5D" w:rsidP="002F238F"/>
    <w:p w14:paraId="382F538D" w14:textId="0AA525F6" w:rsidR="00470151" w:rsidRDefault="00470151" w:rsidP="002F238F"/>
    <w:p w14:paraId="46A381B0" w14:textId="77777777" w:rsidR="001F52D8" w:rsidRPr="00D753EA" w:rsidRDefault="001F52D8" w:rsidP="00547DCA">
      <w:pPr>
        <w:spacing w:after="200" w:line="276" w:lineRule="auto"/>
        <w:jc w:val="center"/>
        <w:rPr>
          <w:rFonts w:asciiTheme="minorHAnsi" w:hAnsiTheme="minorHAnsi" w:cstheme="minorHAnsi"/>
          <w:b/>
          <w:sz w:val="28"/>
          <w:szCs w:val="28"/>
          <w:highlight w:val="yellow"/>
          <w:u w:val="single"/>
        </w:rPr>
      </w:pPr>
      <w:r w:rsidRPr="00D753EA">
        <w:rPr>
          <w:rFonts w:asciiTheme="minorHAnsi" w:eastAsia="Times New Roman" w:hAnsiTheme="minorHAnsi" w:cstheme="minorHAnsi"/>
          <w:b/>
          <w:sz w:val="28"/>
          <w:szCs w:val="28"/>
          <w:u w:val="single"/>
        </w:rPr>
        <w:t>Appeals against the centre’s decision not to support a clerical check, a review of marking, a review of moderation or an appeal</w:t>
      </w:r>
    </w:p>
    <w:p w14:paraId="09B30758" w14:textId="77777777" w:rsidR="001F52D8" w:rsidRDefault="001F52D8" w:rsidP="001F52D8">
      <w:pPr>
        <w:autoSpaceDE w:val="0"/>
        <w:autoSpaceDN w:val="0"/>
        <w:adjustRightInd w:val="0"/>
        <w:spacing w:before="120" w:after="120" w:line="276" w:lineRule="auto"/>
        <w:rPr>
          <w:rFonts w:asciiTheme="minorHAnsi" w:hAnsiTheme="minorHAnsi" w:cstheme="minorHAnsi"/>
          <w:sz w:val="24"/>
          <w:szCs w:val="24"/>
        </w:rPr>
      </w:pPr>
      <w:r w:rsidRPr="00971004">
        <w:rPr>
          <w:rFonts w:asciiTheme="minorHAnsi" w:hAnsiTheme="minorHAnsi" w:cstheme="minorHAnsi"/>
          <w:noProof/>
          <w:sz w:val="24"/>
          <w:szCs w:val="24"/>
        </w:rPr>
        <w:t>This procedure confirms Maynard School’s</w:t>
      </w:r>
      <w:r w:rsidRPr="00971004">
        <w:rPr>
          <w:rFonts w:asciiTheme="minorHAnsi" w:hAnsiTheme="minorHAnsi" w:cstheme="minorHAnsi"/>
          <w:sz w:val="24"/>
          <w:szCs w:val="24"/>
        </w:rPr>
        <w:t xml:space="preserve"> compliance with JCQ’s </w:t>
      </w:r>
      <w:r w:rsidRPr="00971004">
        <w:rPr>
          <w:rFonts w:asciiTheme="minorHAnsi" w:hAnsiTheme="minorHAnsi" w:cstheme="minorHAnsi"/>
          <w:i/>
          <w:sz w:val="24"/>
          <w:szCs w:val="24"/>
        </w:rPr>
        <w:t>General Regulations for Approved Centres 202</w:t>
      </w:r>
      <w:r>
        <w:rPr>
          <w:rFonts w:asciiTheme="minorHAnsi" w:hAnsiTheme="minorHAnsi" w:cstheme="minorHAnsi"/>
          <w:i/>
          <w:sz w:val="24"/>
          <w:szCs w:val="24"/>
        </w:rPr>
        <w:t>1</w:t>
      </w:r>
      <w:r w:rsidRPr="00971004">
        <w:rPr>
          <w:rFonts w:asciiTheme="minorHAnsi" w:hAnsiTheme="minorHAnsi" w:cstheme="minorHAnsi"/>
          <w:i/>
          <w:sz w:val="24"/>
          <w:szCs w:val="24"/>
        </w:rPr>
        <w:t>-202</w:t>
      </w:r>
      <w:r>
        <w:rPr>
          <w:rFonts w:asciiTheme="minorHAnsi" w:hAnsiTheme="minorHAnsi" w:cstheme="minorHAnsi"/>
          <w:i/>
          <w:sz w:val="24"/>
          <w:szCs w:val="24"/>
        </w:rPr>
        <w:t>2</w:t>
      </w:r>
      <w:r w:rsidRPr="00971004">
        <w:rPr>
          <w:rFonts w:asciiTheme="minorHAnsi" w:hAnsiTheme="minorHAnsi" w:cstheme="minorHAnsi"/>
          <w:i/>
          <w:sz w:val="24"/>
          <w:szCs w:val="24"/>
        </w:rPr>
        <w:t xml:space="preserve">, section 5.13 </w:t>
      </w:r>
      <w:r w:rsidRPr="00971004">
        <w:rPr>
          <w:rFonts w:asciiTheme="minorHAnsi" w:hAnsiTheme="minorHAnsi" w:cstheme="minorHAnsi"/>
          <w:sz w:val="24"/>
          <w:szCs w:val="24"/>
        </w:rPr>
        <w:t xml:space="preserve">that the centre </w:t>
      </w:r>
      <w:r>
        <w:rPr>
          <w:rFonts w:asciiTheme="minorHAnsi" w:hAnsiTheme="minorHAnsi" w:cstheme="minorHAnsi"/>
          <w:sz w:val="24"/>
          <w:szCs w:val="24"/>
        </w:rPr>
        <w:t>will:</w:t>
      </w:r>
    </w:p>
    <w:p w14:paraId="342D7C9B" w14:textId="77777777" w:rsidR="001F52D8" w:rsidRPr="00971004" w:rsidRDefault="001F52D8" w:rsidP="001F52D8">
      <w:pPr>
        <w:autoSpaceDE w:val="0"/>
        <w:autoSpaceDN w:val="0"/>
        <w:adjustRightInd w:val="0"/>
        <w:spacing w:before="120" w:after="120" w:line="276" w:lineRule="auto"/>
        <w:rPr>
          <w:rFonts w:asciiTheme="minorHAnsi" w:eastAsia="Times New Roman" w:hAnsiTheme="minorHAnsi" w:cstheme="minorHAnsi"/>
          <w:b/>
          <w:sz w:val="24"/>
          <w:szCs w:val="24"/>
        </w:rPr>
      </w:pPr>
      <w:r>
        <w:rPr>
          <w:rFonts w:asciiTheme="minorHAnsi" w:hAnsiTheme="minorHAnsi" w:cstheme="minorHAnsi"/>
          <w:sz w:val="24"/>
          <w:szCs w:val="24"/>
        </w:rPr>
        <w:t>Have available for inspection purposes and draw to the attention of candidates and their parents/carers, a written internal appeals procedure to manage disputes when a candidate disagrees with a centre decision not to support a clerical re-check, a review of marking, a review of moderation or an appeal.</w:t>
      </w:r>
    </w:p>
    <w:p w14:paraId="501224A5" w14:textId="77777777" w:rsidR="001F52D8" w:rsidRPr="00971004" w:rsidRDefault="001F52D8" w:rsidP="001F52D8">
      <w:pPr>
        <w:spacing w:before="120" w:after="120" w:line="276" w:lineRule="auto"/>
        <w:rPr>
          <w:rFonts w:asciiTheme="minorHAnsi" w:hAnsiTheme="minorHAnsi" w:cstheme="minorHAnsi"/>
          <w:sz w:val="24"/>
          <w:szCs w:val="24"/>
        </w:rPr>
      </w:pPr>
      <w:r w:rsidRPr="00971004">
        <w:rPr>
          <w:rFonts w:asciiTheme="minorHAnsi" w:hAnsiTheme="minorHAnsi" w:cstheme="minorHAnsi"/>
          <w:sz w:val="24"/>
          <w:szCs w:val="24"/>
        </w:rPr>
        <w:t xml:space="preserve">Following the issue of results, awarding bodies make post-results services available.  Full details of these services, deadlines for requesting a service and fees charged are provided alongside the student’s results in an envelope on results day. Candidates are also informed of the arrangements for post-results services </w:t>
      </w:r>
      <w:r w:rsidRPr="00971004">
        <w:rPr>
          <w:rFonts w:asciiTheme="minorHAnsi" w:hAnsiTheme="minorHAnsi" w:cstheme="minorHAnsi"/>
          <w:b/>
          <w:sz w:val="24"/>
          <w:szCs w:val="24"/>
        </w:rPr>
        <w:t>before</w:t>
      </w:r>
      <w:r w:rsidRPr="00971004">
        <w:rPr>
          <w:rFonts w:asciiTheme="minorHAnsi" w:hAnsiTheme="minorHAnsi" w:cstheme="minorHAnsi"/>
          <w:sz w:val="24"/>
          <w:szCs w:val="24"/>
        </w:rPr>
        <w:t xml:space="preserve"> they sit any exams in the briefing before exams begin and</w:t>
      </w:r>
      <w:r>
        <w:rPr>
          <w:rFonts w:asciiTheme="minorHAnsi" w:hAnsiTheme="minorHAnsi" w:cstheme="minorHAnsi"/>
          <w:sz w:val="24"/>
          <w:szCs w:val="24"/>
        </w:rPr>
        <w:t xml:space="preserve"> are made aware of </w:t>
      </w:r>
      <w:r w:rsidRPr="00971004">
        <w:rPr>
          <w:rFonts w:asciiTheme="minorHAnsi" w:hAnsiTheme="minorHAnsi" w:cstheme="minorHAnsi"/>
          <w:sz w:val="24"/>
          <w:szCs w:val="24"/>
        </w:rPr>
        <w:t xml:space="preserve">the accessibility of senior members of centre staff </w:t>
      </w:r>
      <w:r>
        <w:rPr>
          <w:rFonts w:asciiTheme="minorHAnsi" w:hAnsiTheme="minorHAnsi" w:cstheme="minorHAnsi"/>
          <w:sz w:val="24"/>
          <w:szCs w:val="24"/>
        </w:rPr>
        <w:t xml:space="preserve">&amp; HOD’s </w:t>
      </w:r>
      <w:r w:rsidRPr="00971004">
        <w:rPr>
          <w:rFonts w:asciiTheme="minorHAnsi" w:hAnsiTheme="minorHAnsi" w:cstheme="minorHAnsi"/>
          <w:sz w:val="24"/>
          <w:szCs w:val="24"/>
        </w:rPr>
        <w:t>immediately after the publication of results</w:t>
      </w:r>
      <w:r>
        <w:rPr>
          <w:rFonts w:asciiTheme="minorHAnsi" w:hAnsiTheme="minorHAnsi" w:cstheme="minorHAnsi"/>
          <w:sz w:val="24"/>
          <w:szCs w:val="24"/>
        </w:rPr>
        <w:t>, to help with any problems or queries</w:t>
      </w:r>
      <w:r w:rsidRPr="00971004">
        <w:rPr>
          <w:rFonts w:asciiTheme="minorHAnsi" w:hAnsiTheme="minorHAnsi" w:cstheme="minorHAnsi"/>
          <w:sz w:val="24"/>
          <w:szCs w:val="24"/>
        </w:rPr>
        <w:t>.</w:t>
      </w:r>
    </w:p>
    <w:p w14:paraId="63149BB7" w14:textId="77777777" w:rsidR="001F52D8" w:rsidRPr="00601D99" w:rsidRDefault="001F52D8" w:rsidP="001F52D8">
      <w:pPr>
        <w:spacing w:before="120" w:after="120" w:line="276" w:lineRule="auto"/>
        <w:rPr>
          <w:rFonts w:asciiTheme="minorHAnsi" w:hAnsiTheme="minorHAnsi" w:cstheme="minorHAnsi"/>
          <w:b/>
          <w:sz w:val="24"/>
          <w:szCs w:val="24"/>
          <w:u w:val="single"/>
        </w:rPr>
      </w:pPr>
      <w:r w:rsidRPr="00601D99">
        <w:rPr>
          <w:rFonts w:asciiTheme="minorHAnsi" w:hAnsiTheme="minorHAnsi" w:cstheme="minorHAnsi"/>
          <w:b/>
          <w:sz w:val="24"/>
          <w:szCs w:val="24"/>
          <w:u w:val="single"/>
        </w:rPr>
        <w:t>Written components</w:t>
      </w:r>
    </w:p>
    <w:p w14:paraId="28A6AA27" w14:textId="77777777" w:rsidR="001F52D8" w:rsidRPr="00601D99" w:rsidRDefault="001F52D8" w:rsidP="001F52D8">
      <w:pPr>
        <w:spacing w:before="120" w:after="120" w:line="276" w:lineRule="auto"/>
        <w:rPr>
          <w:rFonts w:asciiTheme="minorHAnsi" w:hAnsiTheme="minorHAnsi" w:cstheme="minorHAnsi"/>
          <w:sz w:val="24"/>
          <w:szCs w:val="24"/>
        </w:rPr>
      </w:pPr>
      <w:r w:rsidRPr="00601D99">
        <w:rPr>
          <w:rFonts w:asciiTheme="minorHAnsi" w:hAnsiTheme="minorHAnsi" w:cstheme="minorHAnsi"/>
          <w:sz w:val="24"/>
          <w:szCs w:val="24"/>
        </w:rPr>
        <w:t xml:space="preserve">If the centre or a candidate (or his/her parent/carer) has a concern and believes a result may not be accurate, an enquiry about the result may be requested. </w:t>
      </w:r>
    </w:p>
    <w:p w14:paraId="1CDA5883" w14:textId="77777777" w:rsidR="001F52D8" w:rsidRPr="00547DCA" w:rsidRDefault="001F52D8" w:rsidP="001F52D8">
      <w:pPr>
        <w:pStyle w:val="Heading1"/>
        <w:spacing w:before="120" w:after="120" w:line="276" w:lineRule="auto"/>
        <w:ind w:left="720"/>
        <w:rPr>
          <w:rFonts w:asciiTheme="minorHAnsi" w:hAnsiTheme="minorHAnsi" w:cstheme="minorHAnsi"/>
          <w:b/>
          <w:sz w:val="24"/>
          <w:szCs w:val="24"/>
        </w:rPr>
      </w:pPr>
      <w:r w:rsidRPr="00547DCA">
        <w:rPr>
          <w:rFonts w:asciiTheme="minorHAnsi" w:hAnsiTheme="minorHAnsi" w:cstheme="minorHAnsi"/>
          <w:sz w:val="24"/>
          <w:szCs w:val="24"/>
        </w:rPr>
        <w:t>E</w:t>
      </w:r>
      <w:r w:rsidRPr="00547DCA">
        <w:rPr>
          <w:rFonts w:asciiTheme="minorHAnsi" w:hAnsiTheme="minorHAnsi" w:cstheme="minorHAnsi"/>
          <w:i/>
          <w:sz w:val="24"/>
          <w:szCs w:val="24"/>
        </w:rPr>
        <w:t>nquiries about results</w:t>
      </w:r>
      <w:r w:rsidRPr="00547DCA">
        <w:rPr>
          <w:rFonts w:asciiTheme="minorHAnsi" w:hAnsiTheme="minorHAnsi" w:cstheme="minorHAnsi"/>
          <w:sz w:val="24"/>
          <w:szCs w:val="24"/>
        </w:rPr>
        <w:t xml:space="preserve"> (EARs) offers three services.</w:t>
      </w:r>
    </w:p>
    <w:p w14:paraId="7F8251DC" w14:textId="77777777" w:rsidR="001F52D8" w:rsidRPr="00547DCA" w:rsidRDefault="001F52D8" w:rsidP="001F52D8">
      <w:pPr>
        <w:pStyle w:val="Heading1"/>
        <w:spacing w:before="120" w:line="276" w:lineRule="auto"/>
        <w:ind w:left="720"/>
        <w:rPr>
          <w:rFonts w:asciiTheme="minorHAnsi" w:hAnsiTheme="minorHAnsi" w:cstheme="minorHAnsi"/>
          <w:b/>
          <w:sz w:val="24"/>
          <w:szCs w:val="24"/>
        </w:rPr>
      </w:pPr>
      <w:r w:rsidRPr="00547DCA">
        <w:rPr>
          <w:rFonts w:asciiTheme="minorHAnsi" w:hAnsiTheme="minorHAnsi" w:cstheme="minorHAnsi"/>
          <w:sz w:val="24"/>
          <w:szCs w:val="24"/>
        </w:rPr>
        <w:t>Service 1 – clerical re-check (This is the only service available for multiple choice tests)</w:t>
      </w:r>
    </w:p>
    <w:p w14:paraId="458B4E92" w14:textId="77777777" w:rsidR="001F52D8" w:rsidRPr="00547DCA" w:rsidRDefault="001F52D8" w:rsidP="001F52D8">
      <w:pPr>
        <w:pStyle w:val="Heading1"/>
        <w:spacing w:line="276" w:lineRule="auto"/>
        <w:ind w:left="720"/>
        <w:rPr>
          <w:rFonts w:asciiTheme="minorHAnsi" w:hAnsiTheme="minorHAnsi" w:cstheme="minorHAnsi"/>
          <w:b/>
          <w:sz w:val="24"/>
          <w:szCs w:val="24"/>
        </w:rPr>
      </w:pPr>
      <w:r w:rsidRPr="00547DCA">
        <w:rPr>
          <w:rFonts w:asciiTheme="minorHAnsi" w:hAnsiTheme="minorHAnsi" w:cstheme="minorHAnsi"/>
          <w:sz w:val="24"/>
          <w:szCs w:val="24"/>
        </w:rPr>
        <w:t xml:space="preserve">Service 2 – review of marking and priority review of marking (This service is only available for students who have a university or college place pending on the outcome) </w:t>
      </w:r>
    </w:p>
    <w:p w14:paraId="0C521561" w14:textId="77777777" w:rsidR="001F52D8" w:rsidRPr="00547DCA" w:rsidRDefault="001F52D8" w:rsidP="001F52D8">
      <w:pPr>
        <w:pStyle w:val="Heading1"/>
        <w:spacing w:after="120" w:line="276" w:lineRule="auto"/>
        <w:ind w:left="720"/>
        <w:rPr>
          <w:rFonts w:asciiTheme="minorHAnsi" w:hAnsiTheme="minorHAnsi" w:cstheme="minorHAnsi"/>
          <w:b/>
          <w:sz w:val="24"/>
          <w:szCs w:val="24"/>
        </w:rPr>
      </w:pPr>
      <w:r w:rsidRPr="00547DCA">
        <w:rPr>
          <w:rFonts w:asciiTheme="minorHAnsi" w:hAnsiTheme="minorHAnsi" w:cstheme="minorHAnsi"/>
          <w:sz w:val="24"/>
          <w:szCs w:val="24"/>
        </w:rPr>
        <w:t>Service 3 – review of moderation (this service is not available to an individual candidate)</w:t>
      </w:r>
    </w:p>
    <w:p w14:paraId="440AD1A7" w14:textId="77777777" w:rsidR="001F52D8" w:rsidRDefault="001F52D8" w:rsidP="001F52D8">
      <w:pPr>
        <w:rPr>
          <w:rFonts w:asciiTheme="minorHAnsi" w:hAnsiTheme="minorHAnsi" w:cstheme="minorHAnsi"/>
          <w:sz w:val="24"/>
          <w:szCs w:val="24"/>
        </w:rPr>
      </w:pPr>
      <w:r w:rsidRPr="00F553C0">
        <w:rPr>
          <w:rFonts w:asciiTheme="minorHAnsi" w:hAnsiTheme="minorHAnsi" w:cstheme="minorHAnsi"/>
          <w:sz w:val="24"/>
          <w:szCs w:val="24"/>
        </w:rPr>
        <w:t>Access to scripts (ATS)</w:t>
      </w:r>
    </w:p>
    <w:p w14:paraId="6E19BBF9" w14:textId="77777777" w:rsidR="001F52D8" w:rsidRDefault="001F52D8" w:rsidP="001F52D8">
      <w:pPr>
        <w:pStyle w:val="ListParagraph"/>
        <w:numPr>
          <w:ilvl w:val="0"/>
          <w:numId w:val="10"/>
        </w:numPr>
        <w:spacing w:after="80"/>
        <w:rPr>
          <w:rFonts w:asciiTheme="minorHAnsi" w:hAnsiTheme="minorHAnsi" w:cstheme="minorHAnsi"/>
        </w:rPr>
      </w:pPr>
      <w:r w:rsidRPr="0094392C">
        <w:rPr>
          <w:rFonts w:asciiTheme="minorHAnsi" w:hAnsiTheme="minorHAnsi" w:cstheme="minorHAnsi"/>
        </w:rPr>
        <w:t>Copies of scripts to support reviews of marking</w:t>
      </w:r>
    </w:p>
    <w:p w14:paraId="6C4D2429" w14:textId="77777777" w:rsidR="001F52D8" w:rsidRPr="00AD1F66" w:rsidRDefault="001F52D8" w:rsidP="001F52D8">
      <w:pPr>
        <w:pStyle w:val="ListParagraph"/>
        <w:numPr>
          <w:ilvl w:val="0"/>
          <w:numId w:val="10"/>
        </w:numPr>
        <w:spacing w:after="80"/>
        <w:rPr>
          <w:rFonts w:asciiTheme="minorHAnsi" w:hAnsiTheme="minorHAnsi" w:cstheme="minorHAnsi"/>
        </w:rPr>
      </w:pPr>
      <w:r w:rsidRPr="00AD1F66">
        <w:rPr>
          <w:rFonts w:asciiTheme="minorHAnsi" w:hAnsiTheme="minorHAnsi" w:cstheme="minorHAnsi"/>
        </w:rPr>
        <w:t>Copies of scripts to support teaching and learning</w:t>
      </w:r>
    </w:p>
    <w:p w14:paraId="66711787" w14:textId="77777777" w:rsidR="001F52D8" w:rsidRPr="002A4D39" w:rsidRDefault="001F52D8" w:rsidP="001F52D8">
      <w:pPr>
        <w:rPr>
          <w:rFonts w:asciiTheme="minorHAnsi" w:hAnsiTheme="minorHAnsi" w:cstheme="minorHAnsi"/>
          <w:sz w:val="24"/>
          <w:szCs w:val="24"/>
        </w:rPr>
      </w:pPr>
    </w:p>
    <w:p w14:paraId="1BA07FC5" w14:textId="77777777" w:rsidR="001F52D8" w:rsidRDefault="001F52D8" w:rsidP="001F52D8">
      <w:pPr>
        <w:spacing w:line="276" w:lineRule="auto"/>
        <w:jc w:val="both"/>
        <w:rPr>
          <w:rFonts w:asciiTheme="minorHAnsi" w:hAnsiTheme="minorHAnsi" w:cstheme="minorHAnsi"/>
          <w:sz w:val="24"/>
          <w:szCs w:val="24"/>
        </w:rPr>
      </w:pPr>
      <w:r w:rsidRPr="000B159B">
        <w:rPr>
          <w:rFonts w:asciiTheme="minorHAnsi" w:hAnsiTheme="minorHAnsi" w:cstheme="minorHAnsi"/>
          <w:sz w:val="24"/>
          <w:szCs w:val="24"/>
        </w:rPr>
        <w:t xml:space="preserve">Where a concern is expressed that a particular result may not be accurate, the centre will look at the marks awarded for each component part of the qualification alongside any mark </w:t>
      </w:r>
      <w:r w:rsidRPr="000B159B">
        <w:rPr>
          <w:rFonts w:asciiTheme="minorHAnsi" w:hAnsiTheme="minorHAnsi" w:cstheme="minorHAnsi"/>
          <w:sz w:val="24"/>
          <w:szCs w:val="24"/>
        </w:rPr>
        <w:lastRenderedPageBreak/>
        <w:t xml:space="preserve">schemes, relevant result reports, grade boundary information etc. when made available by the awarding body to determine if the centre supports any concerns. </w:t>
      </w:r>
    </w:p>
    <w:p w14:paraId="7752675A" w14:textId="77777777" w:rsidR="001F52D8" w:rsidRPr="000B159B" w:rsidRDefault="001F52D8" w:rsidP="001F52D8">
      <w:pPr>
        <w:spacing w:line="276" w:lineRule="auto"/>
        <w:jc w:val="both"/>
        <w:rPr>
          <w:rFonts w:asciiTheme="minorHAnsi" w:hAnsiTheme="minorHAnsi" w:cstheme="minorHAnsi"/>
          <w:b/>
          <w:sz w:val="24"/>
          <w:szCs w:val="24"/>
        </w:rPr>
      </w:pPr>
      <w:r>
        <w:rPr>
          <w:rFonts w:asciiTheme="minorHAnsi" w:hAnsiTheme="minorHAnsi" w:cstheme="minorHAnsi"/>
          <w:sz w:val="24"/>
          <w:szCs w:val="24"/>
        </w:rPr>
        <w:t>For written components that contributed to the final result, the centre will:</w:t>
      </w:r>
    </w:p>
    <w:p w14:paraId="2F53F024" w14:textId="77777777" w:rsidR="001F52D8" w:rsidRPr="001145C1" w:rsidRDefault="001F52D8" w:rsidP="001F52D8">
      <w:pPr>
        <w:pStyle w:val="ListParagraph"/>
        <w:numPr>
          <w:ilvl w:val="0"/>
          <w:numId w:val="11"/>
        </w:numPr>
        <w:spacing w:after="80" w:line="276" w:lineRule="auto"/>
        <w:jc w:val="both"/>
        <w:rPr>
          <w:rFonts w:asciiTheme="minorHAnsi" w:hAnsiTheme="minorHAnsi" w:cstheme="minorHAnsi"/>
          <w:b/>
        </w:rPr>
      </w:pPr>
      <w:r w:rsidRPr="001145C1">
        <w:rPr>
          <w:rFonts w:asciiTheme="minorHAnsi" w:hAnsiTheme="minorHAnsi" w:cstheme="minorHAnsi"/>
        </w:rPr>
        <w:t xml:space="preserve">Where a place a university or college is at risk, consider supporting a request for a Priority Service 2 review of marking </w:t>
      </w:r>
    </w:p>
    <w:p w14:paraId="42306613" w14:textId="77777777" w:rsidR="001F52D8" w:rsidRPr="000B159B" w:rsidRDefault="001F52D8" w:rsidP="001F52D8">
      <w:pPr>
        <w:pStyle w:val="ListParagraph"/>
        <w:numPr>
          <w:ilvl w:val="0"/>
          <w:numId w:val="11"/>
        </w:numPr>
        <w:spacing w:after="80" w:line="276" w:lineRule="auto"/>
        <w:jc w:val="both"/>
        <w:rPr>
          <w:rFonts w:asciiTheme="minorHAnsi" w:hAnsiTheme="minorHAnsi" w:cstheme="minorHAnsi"/>
        </w:rPr>
      </w:pPr>
      <w:r w:rsidRPr="000B159B">
        <w:rPr>
          <w:rFonts w:asciiTheme="minorHAnsi" w:hAnsiTheme="minorHAnsi" w:cstheme="minorHAnsi"/>
        </w:rPr>
        <w:t>In all other instances, consider accessing the script by:</w:t>
      </w:r>
    </w:p>
    <w:p w14:paraId="55C8CE4D" w14:textId="77777777" w:rsidR="001F52D8" w:rsidRPr="008824A4" w:rsidRDefault="001F52D8" w:rsidP="001F52D8">
      <w:pPr>
        <w:pStyle w:val="ListParagraph"/>
        <w:numPr>
          <w:ilvl w:val="1"/>
          <w:numId w:val="7"/>
        </w:numPr>
        <w:spacing w:after="80" w:line="276" w:lineRule="auto"/>
        <w:jc w:val="both"/>
        <w:rPr>
          <w:rFonts w:asciiTheme="minorHAnsi" w:hAnsiTheme="minorHAnsi" w:cstheme="minorHAnsi"/>
        </w:rPr>
      </w:pPr>
      <w:r w:rsidRPr="008824A4">
        <w:rPr>
          <w:rFonts w:asciiTheme="minorHAnsi" w:hAnsiTheme="minorHAnsi" w:cstheme="minorHAnsi"/>
          <w:color w:val="141414"/>
          <w:shd w:val="clear" w:color="auto" w:fill="FFFFFF"/>
        </w:rPr>
        <w:t>(</w:t>
      </w:r>
      <w:r w:rsidRPr="008824A4">
        <w:rPr>
          <w:rFonts w:asciiTheme="minorHAnsi" w:hAnsiTheme="minorHAnsi" w:cstheme="minorHAnsi"/>
        </w:rPr>
        <w:t xml:space="preserve">Where the service is made available by the awarding body) requesting a priority copy of the candidate’s script to support a review of marking by the awarding body deadline or </w:t>
      </w:r>
    </w:p>
    <w:p w14:paraId="139F534A" w14:textId="77777777" w:rsidR="001F52D8" w:rsidRPr="008824A4" w:rsidRDefault="001F52D8" w:rsidP="001F52D8">
      <w:pPr>
        <w:pStyle w:val="ListParagraph"/>
        <w:numPr>
          <w:ilvl w:val="1"/>
          <w:numId w:val="7"/>
        </w:numPr>
        <w:spacing w:after="80" w:line="276" w:lineRule="auto"/>
        <w:jc w:val="both"/>
        <w:rPr>
          <w:rFonts w:asciiTheme="minorHAnsi" w:hAnsiTheme="minorHAnsi" w:cstheme="minorHAnsi"/>
        </w:rPr>
      </w:pPr>
      <w:r w:rsidRPr="008824A4">
        <w:rPr>
          <w:rFonts w:asciiTheme="minorHAnsi" w:hAnsiTheme="minorHAnsi" w:cstheme="minorHAnsi"/>
          <w:color w:val="141414"/>
          <w:shd w:val="clear" w:color="auto" w:fill="FFFFFF"/>
        </w:rPr>
        <w:t>(</w:t>
      </w:r>
      <w:r w:rsidRPr="008824A4">
        <w:rPr>
          <w:rFonts w:asciiTheme="minorHAnsi" w:hAnsiTheme="minorHAnsi" w:cstheme="minorHAnsi"/>
        </w:rPr>
        <w:t xml:space="preserve">Where the option is made available by the awarding body) </w:t>
      </w:r>
      <w:r w:rsidRPr="008824A4">
        <w:rPr>
          <w:rFonts w:asciiTheme="minorHAnsi" w:hAnsiTheme="minorHAnsi" w:cstheme="minorHAnsi"/>
          <w:color w:val="141414"/>
          <w:shd w:val="clear" w:color="auto" w:fill="FFFFFF"/>
        </w:rPr>
        <w:t xml:space="preserve">viewing the candidate’s marked script online to consider if </w:t>
      </w:r>
      <w:r w:rsidRPr="008824A4">
        <w:rPr>
          <w:rFonts w:asciiTheme="minorHAnsi" w:hAnsiTheme="minorHAnsi" w:cstheme="minorHAnsi"/>
        </w:rPr>
        <w:t>requesting a review of marking is appropriate</w:t>
      </w:r>
    </w:p>
    <w:p w14:paraId="624B0643" w14:textId="77777777" w:rsidR="001F52D8" w:rsidRPr="00D84B70" w:rsidRDefault="001F52D8" w:rsidP="001F52D8">
      <w:pPr>
        <w:pStyle w:val="ListParagraph"/>
        <w:numPr>
          <w:ilvl w:val="0"/>
          <w:numId w:val="11"/>
        </w:numPr>
        <w:spacing w:after="80" w:line="276" w:lineRule="auto"/>
        <w:jc w:val="both"/>
        <w:rPr>
          <w:rFonts w:asciiTheme="minorHAnsi" w:hAnsiTheme="minorHAnsi" w:cstheme="minorHAnsi"/>
        </w:rPr>
      </w:pPr>
      <w:r w:rsidRPr="00D84B70">
        <w:rPr>
          <w:rFonts w:asciiTheme="minorHAnsi" w:hAnsiTheme="minorHAnsi" w:cstheme="minorHAnsi"/>
        </w:rPr>
        <w:t>On access to the script, consider if it is felt that the agreed mark scheme has been applied correctly in the original marking and if the centre considers there are any errors in the marking.</w:t>
      </w:r>
    </w:p>
    <w:p w14:paraId="733C2402" w14:textId="77777777" w:rsidR="001F52D8" w:rsidRPr="00D84B70" w:rsidRDefault="001F52D8" w:rsidP="001F52D8">
      <w:pPr>
        <w:pStyle w:val="ListParagraph"/>
        <w:numPr>
          <w:ilvl w:val="0"/>
          <w:numId w:val="11"/>
        </w:numPr>
        <w:spacing w:after="80" w:line="276" w:lineRule="auto"/>
        <w:jc w:val="both"/>
        <w:rPr>
          <w:rFonts w:asciiTheme="minorHAnsi" w:hAnsiTheme="minorHAnsi" w:cstheme="minorHAnsi"/>
        </w:rPr>
      </w:pPr>
      <w:r w:rsidRPr="00D84B70">
        <w:rPr>
          <w:rFonts w:asciiTheme="minorHAnsi" w:hAnsiTheme="minorHAnsi" w:cstheme="minorHAnsi"/>
        </w:rPr>
        <w:t>Support a request for the appropriate either a clerical re-check or review of marking if any error is identified.</w:t>
      </w:r>
    </w:p>
    <w:p w14:paraId="653E619A" w14:textId="77777777" w:rsidR="001F52D8" w:rsidRPr="008824A4" w:rsidRDefault="001F52D8" w:rsidP="001F52D8">
      <w:pPr>
        <w:pStyle w:val="ListParagraph"/>
        <w:numPr>
          <w:ilvl w:val="0"/>
          <w:numId w:val="11"/>
        </w:numPr>
        <w:spacing w:after="80" w:line="276" w:lineRule="auto"/>
        <w:jc w:val="both"/>
        <w:rPr>
          <w:rFonts w:asciiTheme="minorHAnsi" w:hAnsiTheme="minorHAnsi" w:cstheme="minorHAnsi"/>
        </w:rPr>
      </w:pPr>
      <w:r w:rsidRPr="008824A4">
        <w:rPr>
          <w:rFonts w:asciiTheme="minorHAnsi" w:hAnsiTheme="minorHAnsi" w:cstheme="minorHAnsi"/>
        </w:rPr>
        <w:t>Collect informed written consent from the candidate to request the Review of marking before the request is submitted using the green or blue forms. Consent is required to confirm the candidate understands that the final subject grade and/or mark awarded following a clerical re-check or a review of marking, and any subsequent appeal, may be lower than, higher than, or the same as the result which was originally awarded. Candidate consent must only be collected after the publication of results.</w:t>
      </w:r>
    </w:p>
    <w:p w14:paraId="25333AF9" w14:textId="77777777" w:rsidR="001F52D8" w:rsidRPr="008824A4" w:rsidRDefault="001F52D8" w:rsidP="001F52D8">
      <w:pPr>
        <w:pStyle w:val="ListParagraph"/>
        <w:numPr>
          <w:ilvl w:val="0"/>
          <w:numId w:val="11"/>
        </w:numPr>
        <w:spacing w:after="80" w:line="276" w:lineRule="auto"/>
        <w:jc w:val="both"/>
        <w:rPr>
          <w:rFonts w:asciiTheme="minorHAnsi" w:hAnsiTheme="minorHAnsi" w:cstheme="minorHAnsi"/>
        </w:rPr>
      </w:pPr>
      <w:r w:rsidRPr="008824A4">
        <w:rPr>
          <w:rFonts w:asciiTheme="minorHAnsi" w:hAnsiTheme="minorHAnsi" w:cstheme="minorHAnsi"/>
        </w:rPr>
        <w:t>Where relevant, advise an affected candidate to inform any third party (such as a university or college) that a review of marking has been submitted to an awarding body</w:t>
      </w:r>
    </w:p>
    <w:p w14:paraId="396A16C2" w14:textId="77777777" w:rsidR="001F52D8" w:rsidRDefault="001F52D8" w:rsidP="001F52D8">
      <w:pPr>
        <w:pStyle w:val="ListParagraph"/>
        <w:numPr>
          <w:ilvl w:val="0"/>
          <w:numId w:val="11"/>
        </w:numPr>
        <w:spacing w:before="120" w:after="120" w:line="276" w:lineRule="auto"/>
        <w:jc w:val="both"/>
        <w:rPr>
          <w:rFonts w:asciiTheme="minorHAnsi" w:hAnsiTheme="minorHAnsi" w:cstheme="minorHAnsi"/>
        </w:rPr>
      </w:pPr>
      <w:r w:rsidRPr="008824A4">
        <w:rPr>
          <w:rFonts w:asciiTheme="minorHAnsi" w:hAnsiTheme="minorHAnsi" w:cstheme="minorHAnsi"/>
        </w:rPr>
        <w:t>The candidate must pay the appropriate EAR fee to the centre prior to it being sent off to the Exam Boards</w:t>
      </w:r>
      <w:bookmarkStart w:id="0" w:name="_Hlk496616747"/>
      <w:r>
        <w:rPr>
          <w:rFonts w:asciiTheme="minorHAnsi" w:hAnsiTheme="minorHAnsi" w:cstheme="minorHAnsi"/>
        </w:rPr>
        <w:t>.</w:t>
      </w:r>
    </w:p>
    <w:p w14:paraId="35F7E213" w14:textId="77777777" w:rsidR="001F52D8" w:rsidRPr="008824A4" w:rsidRDefault="001F52D8" w:rsidP="001F52D8">
      <w:pPr>
        <w:pStyle w:val="ListParagraph"/>
        <w:numPr>
          <w:ilvl w:val="0"/>
          <w:numId w:val="11"/>
        </w:numPr>
        <w:spacing w:before="120" w:after="120" w:line="276" w:lineRule="auto"/>
        <w:jc w:val="both"/>
        <w:rPr>
          <w:rFonts w:asciiTheme="minorHAnsi" w:hAnsiTheme="minorHAnsi" w:cstheme="minorHAnsi"/>
        </w:rPr>
      </w:pPr>
      <w:r w:rsidRPr="008824A4">
        <w:rPr>
          <w:rFonts w:asciiTheme="minorHAnsi" w:hAnsiTheme="minorHAnsi" w:cstheme="minorHAnsi"/>
        </w:rPr>
        <w:t>If the candidate (or his/her parent/carer) believes there are grounds to appeal against the centre’s decision not to support an enquiry, an internal appeal can be submitted to the centre by completing the internal appeals form at least 3 days prior to the internal deadline for submitting an EAR.</w:t>
      </w:r>
    </w:p>
    <w:p w14:paraId="01A8C554" w14:textId="77777777" w:rsidR="001F52D8" w:rsidRDefault="001F52D8" w:rsidP="001F52D8">
      <w:pPr>
        <w:pStyle w:val="ListParagraph"/>
        <w:numPr>
          <w:ilvl w:val="0"/>
          <w:numId w:val="11"/>
        </w:numPr>
        <w:spacing w:before="120" w:after="120" w:line="276" w:lineRule="auto"/>
        <w:rPr>
          <w:rFonts w:asciiTheme="minorHAnsi" w:hAnsiTheme="minorHAnsi" w:cstheme="minorHAnsi"/>
        </w:rPr>
      </w:pPr>
      <w:r w:rsidRPr="008824A4">
        <w:rPr>
          <w:rFonts w:asciiTheme="minorHAnsi" w:hAnsiTheme="minorHAnsi" w:cstheme="minorHAnsi"/>
        </w:rPr>
        <w:t>The appellant will be informed of the outcome of his/her appeal, before the internal deadline for submitting an EAR.</w:t>
      </w:r>
    </w:p>
    <w:p w14:paraId="25CB1FF4" w14:textId="77777777" w:rsidR="00547DCA" w:rsidRDefault="00547DCA" w:rsidP="00547DCA">
      <w:pPr>
        <w:spacing w:before="120" w:after="120" w:line="276" w:lineRule="auto"/>
        <w:rPr>
          <w:rFonts w:asciiTheme="minorHAnsi" w:hAnsiTheme="minorHAnsi" w:cstheme="minorHAnsi"/>
        </w:rPr>
      </w:pPr>
    </w:p>
    <w:p w14:paraId="639F3BB6" w14:textId="77777777" w:rsidR="00547DCA" w:rsidRDefault="00547DCA" w:rsidP="00547DCA">
      <w:pPr>
        <w:spacing w:before="120" w:after="120" w:line="276" w:lineRule="auto"/>
        <w:rPr>
          <w:rFonts w:asciiTheme="minorHAnsi" w:hAnsiTheme="minorHAnsi" w:cstheme="minorHAnsi"/>
        </w:rPr>
      </w:pPr>
    </w:p>
    <w:p w14:paraId="738C4F28" w14:textId="77777777" w:rsidR="00547DCA" w:rsidRDefault="00547DCA" w:rsidP="00547DCA">
      <w:pPr>
        <w:spacing w:before="120" w:after="120" w:line="276" w:lineRule="auto"/>
        <w:rPr>
          <w:rFonts w:asciiTheme="minorHAnsi" w:hAnsiTheme="minorHAnsi" w:cstheme="minorHAnsi"/>
        </w:rPr>
      </w:pPr>
    </w:p>
    <w:p w14:paraId="659EB39F" w14:textId="77777777" w:rsidR="00547DCA" w:rsidRPr="00547DCA" w:rsidRDefault="00547DCA" w:rsidP="00547DCA">
      <w:pPr>
        <w:spacing w:before="120" w:after="120" w:line="276" w:lineRule="auto"/>
        <w:rPr>
          <w:rFonts w:asciiTheme="minorHAnsi" w:hAnsiTheme="minorHAnsi" w:cstheme="minorHAnsi"/>
        </w:rPr>
      </w:pPr>
    </w:p>
    <w:p w14:paraId="42A6D380" w14:textId="77777777" w:rsidR="001F52D8" w:rsidRPr="00601D99" w:rsidRDefault="001F52D8" w:rsidP="001F52D8">
      <w:pPr>
        <w:pStyle w:val="Default"/>
        <w:spacing w:before="120" w:after="120" w:line="276" w:lineRule="auto"/>
        <w:rPr>
          <w:rFonts w:asciiTheme="minorHAnsi" w:hAnsiTheme="minorHAnsi" w:cstheme="minorHAnsi"/>
          <w:b/>
          <w:u w:val="single"/>
        </w:rPr>
      </w:pPr>
      <w:bookmarkStart w:id="1" w:name="_Hlk23406142"/>
      <w:bookmarkEnd w:id="0"/>
      <w:r w:rsidRPr="00601D99">
        <w:rPr>
          <w:rFonts w:asciiTheme="minorHAnsi" w:hAnsiTheme="minorHAnsi" w:cstheme="minorHAnsi"/>
          <w:b/>
          <w:u w:val="single"/>
        </w:rPr>
        <w:lastRenderedPageBreak/>
        <w:t xml:space="preserve"> </w:t>
      </w:r>
      <w:r>
        <w:rPr>
          <w:rFonts w:asciiTheme="minorHAnsi" w:hAnsiTheme="minorHAnsi" w:cstheme="minorHAnsi"/>
          <w:b/>
          <w:u w:val="single"/>
        </w:rPr>
        <w:t>M</w:t>
      </w:r>
      <w:r w:rsidRPr="00601D99">
        <w:rPr>
          <w:rFonts w:asciiTheme="minorHAnsi" w:hAnsiTheme="minorHAnsi" w:cstheme="minorHAnsi"/>
          <w:b/>
          <w:u w:val="single"/>
        </w:rPr>
        <w:t>oderated components that contributed to the final result</w:t>
      </w:r>
    </w:p>
    <w:p w14:paraId="150CA0E2" w14:textId="77777777" w:rsidR="001F52D8" w:rsidRPr="00601D99" w:rsidRDefault="001F52D8" w:rsidP="001F52D8">
      <w:pPr>
        <w:pStyle w:val="Default"/>
        <w:spacing w:before="120" w:after="120" w:line="276" w:lineRule="auto"/>
        <w:rPr>
          <w:rFonts w:asciiTheme="minorHAnsi" w:hAnsiTheme="minorHAnsi" w:cstheme="minorHAnsi"/>
          <w:bCs/>
        </w:rPr>
      </w:pPr>
      <w:r w:rsidRPr="00601D99">
        <w:rPr>
          <w:rFonts w:asciiTheme="minorHAnsi" w:hAnsiTheme="minorHAnsi" w:cstheme="minorHAnsi"/>
          <w:bCs/>
        </w:rPr>
        <w:t>Confirm that a review of moderation cannot be undertaken on the work of an individual candidate or the work of candidates not in the original sample submitted for moderation</w:t>
      </w:r>
    </w:p>
    <w:p w14:paraId="2084B2B4" w14:textId="77777777" w:rsidR="001F52D8" w:rsidRPr="00601D99" w:rsidRDefault="001F52D8" w:rsidP="001F52D8">
      <w:pPr>
        <w:pStyle w:val="ListParagraph"/>
        <w:numPr>
          <w:ilvl w:val="0"/>
          <w:numId w:val="6"/>
        </w:numPr>
        <w:spacing w:after="80" w:line="276" w:lineRule="auto"/>
        <w:jc w:val="both"/>
        <w:rPr>
          <w:rFonts w:asciiTheme="minorHAnsi" w:hAnsiTheme="minorHAnsi" w:cstheme="minorHAnsi"/>
          <w:bCs/>
        </w:rPr>
      </w:pPr>
      <w:r w:rsidRPr="00601D99">
        <w:rPr>
          <w:rFonts w:asciiTheme="minorHAnsi" w:hAnsiTheme="minorHAnsi" w:cstheme="minorHAnsi"/>
          <w:bCs/>
        </w:rPr>
        <w:t>Consult the moderator’s report/feedback to identify any issues raised</w:t>
      </w:r>
    </w:p>
    <w:p w14:paraId="1DC86A80" w14:textId="77777777" w:rsidR="001F52D8" w:rsidRPr="00601D99" w:rsidRDefault="001F52D8" w:rsidP="001F52D8">
      <w:pPr>
        <w:pStyle w:val="ListParagraph"/>
        <w:numPr>
          <w:ilvl w:val="0"/>
          <w:numId w:val="6"/>
        </w:numPr>
        <w:spacing w:after="80" w:line="276" w:lineRule="auto"/>
        <w:jc w:val="both"/>
        <w:rPr>
          <w:rFonts w:asciiTheme="minorHAnsi" w:hAnsiTheme="minorHAnsi" w:cstheme="minorHAnsi"/>
          <w:bCs/>
        </w:rPr>
      </w:pPr>
      <w:r w:rsidRPr="00601D99">
        <w:rPr>
          <w:rFonts w:asciiTheme="minorHAnsi" w:hAnsiTheme="minorHAnsi" w:cstheme="minorHAnsi"/>
          <w:bCs/>
        </w:rPr>
        <w:t>Determine if the centre’s internally assessed marks have been accepted without change by the awarding body – if this is the case, a</w:t>
      </w:r>
      <w:r>
        <w:rPr>
          <w:rFonts w:asciiTheme="minorHAnsi" w:hAnsiTheme="minorHAnsi" w:cstheme="minorHAnsi"/>
          <w:bCs/>
        </w:rPr>
        <w:t xml:space="preserve"> review of results-</w:t>
      </w:r>
      <w:r w:rsidRPr="00601D99">
        <w:rPr>
          <w:rFonts w:asciiTheme="minorHAnsi" w:hAnsiTheme="minorHAnsi" w:cstheme="minorHAnsi"/>
          <w:bCs/>
        </w:rPr>
        <w:t xml:space="preserve"> service 3 (Review of moderation) will not be available</w:t>
      </w:r>
    </w:p>
    <w:p w14:paraId="2CAA7270" w14:textId="77777777" w:rsidR="001F52D8" w:rsidRPr="00601D99" w:rsidRDefault="001F52D8" w:rsidP="001F52D8">
      <w:pPr>
        <w:pStyle w:val="ListParagraph"/>
        <w:numPr>
          <w:ilvl w:val="0"/>
          <w:numId w:val="6"/>
        </w:numPr>
        <w:spacing w:after="80" w:line="276" w:lineRule="auto"/>
        <w:jc w:val="both"/>
        <w:rPr>
          <w:rFonts w:asciiTheme="minorHAnsi" w:hAnsiTheme="minorHAnsi" w:cstheme="minorHAnsi"/>
          <w:bCs/>
        </w:rPr>
      </w:pPr>
      <w:r w:rsidRPr="00601D99">
        <w:rPr>
          <w:rFonts w:asciiTheme="minorHAnsi" w:hAnsiTheme="minorHAnsi" w:cstheme="minorHAnsi"/>
          <w:bCs/>
        </w:rPr>
        <w:t xml:space="preserve">Determine if there are any grounds to submit a request for a review of moderation for the work </w:t>
      </w:r>
      <w:r w:rsidRPr="008824A4">
        <w:rPr>
          <w:rFonts w:asciiTheme="minorHAnsi" w:hAnsiTheme="minorHAnsi" w:cstheme="minorHAnsi"/>
          <w:bCs/>
        </w:rPr>
        <w:t>of all candidates</w:t>
      </w:r>
      <w:r w:rsidRPr="00601D99">
        <w:rPr>
          <w:rFonts w:asciiTheme="minorHAnsi" w:hAnsiTheme="minorHAnsi" w:cstheme="minorHAnsi"/>
          <w:bCs/>
        </w:rPr>
        <w:t xml:space="preserve"> in the original sample</w:t>
      </w:r>
      <w:r>
        <w:rPr>
          <w:rFonts w:asciiTheme="minorHAnsi" w:hAnsiTheme="minorHAnsi" w:cstheme="minorHAnsi"/>
          <w:bCs/>
        </w:rPr>
        <w:t>.</w:t>
      </w:r>
    </w:p>
    <w:p w14:paraId="21F50689" w14:textId="77777777" w:rsidR="001F52D8" w:rsidRPr="00601D99" w:rsidRDefault="001F52D8" w:rsidP="001F52D8">
      <w:pPr>
        <w:spacing w:line="276" w:lineRule="auto"/>
        <w:jc w:val="both"/>
        <w:rPr>
          <w:rFonts w:asciiTheme="minorHAnsi" w:hAnsiTheme="minorHAnsi" w:cstheme="minorHAnsi"/>
          <w:sz w:val="24"/>
          <w:szCs w:val="24"/>
        </w:rPr>
      </w:pPr>
      <w:r w:rsidRPr="00601D99">
        <w:rPr>
          <w:rFonts w:asciiTheme="minorHAnsi" w:hAnsiTheme="minorHAnsi" w:cstheme="minorHAnsi"/>
          <w:sz w:val="24"/>
          <w:szCs w:val="24"/>
        </w:rPr>
        <w:t xml:space="preserve">Where a candidate disagrees with a centre decision not to support a clerical re-check, a review of marking or a review of moderation, the centre will: </w:t>
      </w:r>
    </w:p>
    <w:p w14:paraId="5008730F" w14:textId="77777777" w:rsidR="001F52D8" w:rsidRPr="00601D99" w:rsidRDefault="001F52D8" w:rsidP="001F52D8">
      <w:pPr>
        <w:pStyle w:val="ListParagraph"/>
        <w:numPr>
          <w:ilvl w:val="0"/>
          <w:numId w:val="5"/>
        </w:numPr>
        <w:spacing w:after="80" w:line="276" w:lineRule="auto"/>
        <w:jc w:val="both"/>
        <w:rPr>
          <w:rFonts w:asciiTheme="minorHAnsi" w:hAnsiTheme="minorHAnsi" w:cstheme="minorHAnsi"/>
          <w:b/>
        </w:rPr>
      </w:pPr>
      <w:r>
        <w:rPr>
          <w:rFonts w:asciiTheme="minorHAnsi" w:hAnsiTheme="minorHAnsi" w:cstheme="minorHAnsi"/>
        </w:rPr>
        <w:t>For a review of marking (Review of results-</w:t>
      </w:r>
      <w:r w:rsidRPr="00601D99">
        <w:rPr>
          <w:rFonts w:asciiTheme="minorHAnsi" w:hAnsiTheme="minorHAnsi" w:cstheme="minorHAnsi"/>
        </w:rPr>
        <w:t xml:space="preserve"> priority service 2), advise the candidate he/she may request the review by providing informed written consent</w:t>
      </w:r>
      <w:r>
        <w:rPr>
          <w:rFonts w:asciiTheme="minorHAnsi" w:hAnsiTheme="minorHAnsi" w:cstheme="minorHAnsi"/>
        </w:rPr>
        <w:t xml:space="preserve"> and the required fee,</w:t>
      </w:r>
      <w:r w:rsidRPr="00601D99">
        <w:rPr>
          <w:rFonts w:asciiTheme="minorHAnsi" w:hAnsiTheme="minorHAnsi" w:cstheme="minorHAnsi"/>
        </w:rPr>
        <w:t xml:space="preserve"> for this service to the centre by the deadline set by the centre</w:t>
      </w:r>
      <w:r>
        <w:rPr>
          <w:rFonts w:asciiTheme="minorHAnsi" w:hAnsiTheme="minorHAnsi" w:cstheme="minorHAnsi"/>
        </w:rPr>
        <w:t>.</w:t>
      </w:r>
    </w:p>
    <w:p w14:paraId="6F32F69D" w14:textId="77777777" w:rsidR="001F52D8" w:rsidRPr="00601D99" w:rsidRDefault="001F52D8" w:rsidP="001F52D8">
      <w:pPr>
        <w:pStyle w:val="ListParagraph"/>
        <w:numPr>
          <w:ilvl w:val="0"/>
          <w:numId w:val="5"/>
        </w:numPr>
        <w:spacing w:after="80" w:line="276" w:lineRule="auto"/>
        <w:jc w:val="both"/>
        <w:rPr>
          <w:rFonts w:asciiTheme="minorHAnsi" w:hAnsiTheme="minorHAnsi" w:cstheme="minorHAnsi"/>
          <w:b/>
        </w:rPr>
      </w:pPr>
      <w:r w:rsidRPr="00601D99">
        <w:rPr>
          <w:rFonts w:asciiTheme="minorHAnsi" w:hAnsiTheme="minorHAnsi" w:cstheme="minorHAnsi"/>
        </w:rPr>
        <w:t xml:space="preserve">For a review of marking </w:t>
      </w:r>
      <w:r>
        <w:rPr>
          <w:rFonts w:asciiTheme="minorHAnsi" w:hAnsiTheme="minorHAnsi" w:cstheme="minorHAnsi"/>
        </w:rPr>
        <w:t>(Review of results-</w:t>
      </w:r>
      <w:r w:rsidRPr="00601D99">
        <w:rPr>
          <w:rFonts w:asciiTheme="minorHAnsi" w:hAnsiTheme="minorHAnsi" w:cstheme="minorHAnsi"/>
        </w:rPr>
        <w:t xml:space="preserve"> service 1 or 2), first advise the candidate to </w:t>
      </w:r>
      <w:r w:rsidRPr="008824A4">
        <w:rPr>
          <w:rFonts w:asciiTheme="minorHAnsi" w:hAnsiTheme="minorHAnsi" w:cstheme="minorHAnsi"/>
        </w:rPr>
        <w:t>access a copy of his</w:t>
      </w:r>
      <w:r w:rsidRPr="00601D99">
        <w:rPr>
          <w:rFonts w:asciiTheme="minorHAnsi" w:hAnsiTheme="minorHAnsi" w:cstheme="minorHAnsi"/>
        </w:rPr>
        <w:t xml:space="preserve">/her script to support a review of marking by providing written permission for the centre to access the script (and any required fee for this </w:t>
      </w:r>
      <w:r w:rsidRPr="008824A4">
        <w:rPr>
          <w:rFonts w:asciiTheme="minorHAnsi" w:hAnsiTheme="minorHAnsi" w:cstheme="minorHAnsi"/>
        </w:rPr>
        <w:t>service) for the</w:t>
      </w:r>
      <w:r w:rsidRPr="00601D99">
        <w:rPr>
          <w:rFonts w:asciiTheme="minorHAnsi" w:hAnsiTheme="minorHAnsi" w:cstheme="minorHAnsi"/>
        </w:rPr>
        <w:t xml:space="preserve"> centre to submit this request </w:t>
      </w:r>
    </w:p>
    <w:p w14:paraId="112BE205" w14:textId="77777777" w:rsidR="001F52D8" w:rsidRPr="00601D99" w:rsidRDefault="001F52D8" w:rsidP="001F52D8">
      <w:pPr>
        <w:pStyle w:val="ListParagraph"/>
        <w:numPr>
          <w:ilvl w:val="0"/>
          <w:numId w:val="5"/>
        </w:numPr>
        <w:spacing w:after="80" w:line="276" w:lineRule="auto"/>
        <w:jc w:val="both"/>
        <w:rPr>
          <w:rFonts w:asciiTheme="minorHAnsi" w:hAnsiTheme="minorHAnsi" w:cstheme="minorHAnsi"/>
          <w:b/>
        </w:rPr>
      </w:pPr>
      <w:r w:rsidRPr="00601D99">
        <w:rPr>
          <w:rFonts w:asciiTheme="minorHAnsi" w:hAnsiTheme="minorHAnsi" w:cstheme="minorHAnsi"/>
        </w:rPr>
        <w:t xml:space="preserve">After accessing the script to consider the marking, inform the candidate that if a request for a review of marking </w:t>
      </w:r>
      <w:r>
        <w:rPr>
          <w:rFonts w:asciiTheme="minorHAnsi" w:hAnsiTheme="minorHAnsi" w:cstheme="minorHAnsi"/>
        </w:rPr>
        <w:t>(Review of results-</w:t>
      </w:r>
      <w:r w:rsidRPr="00601D99">
        <w:rPr>
          <w:rFonts w:asciiTheme="minorHAnsi" w:hAnsiTheme="minorHAnsi" w:cstheme="minorHAnsi"/>
        </w:rPr>
        <w:t xml:space="preserve"> service 1 or 2) is required, this must be submitted by the deadline set by the centre by providing informed written consent (and the required fee for this </w:t>
      </w:r>
      <w:r w:rsidRPr="008824A4">
        <w:rPr>
          <w:rFonts w:asciiTheme="minorHAnsi" w:hAnsiTheme="minorHAnsi" w:cstheme="minorHAnsi"/>
        </w:rPr>
        <w:t>service) for the</w:t>
      </w:r>
      <w:r w:rsidRPr="00601D99">
        <w:rPr>
          <w:rFonts w:asciiTheme="minorHAnsi" w:hAnsiTheme="minorHAnsi" w:cstheme="minorHAnsi"/>
        </w:rPr>
        <w:t xml:space="preserve"> centre to submit this request </w:t>
      </w:r>
    </w:p>
    <w:p w14:paraId="5B8A8C64" w14:textId="77777777" w:rsidR="001F52D8" w:rsidRPr="00601D99" w:rsidRDefault="001F52D8" w:rsidP="001F52D8">
      <w:pPr>
        <w:pStyle w:val="ListParagraph"/>
        <w:numPr>
          <w:ilvl w:val="0"/>
          <w:numId w:val="5"/>
        </w:numPr>
        <w:spacing w:after="80" w:line="276" w:lineRule="auto"/>
        <w:jc w:val="both"/>
        <w:rPr>
          <w:rFonts w:asciiTheme="minorHAnsi" w:hAnsiTheme="minorHAnsi" w:cstheme="minorHAnsi"/>
          <w:b/>
        </w:rPr>
      </w:pPr>
      <w:r w:rsidRPr="00601D99">
        <w:rPr>
          <w:rFonts w:asciiTheme="minorHAnsi" w:hAnsiTheme="minorHAnsi" w:cstheme="minorHAnsi"/>
        </w:rPr>
        <w:t>Inform the candidate that a review of moderation</w:t>
      </w:r>
      <w:r>
        <w:rPr>
          <w:rFonts w:asciiTheme="minorHAnsi" w:hAnsiTheme="minorHAnsi" w:cstheme="minorHAnsi"/>
        </w:rPr>
        <w:t xml:space="preserve"> (Review of results</w:t>
      </w:r>
      <w:r w:rsidRPr="00601D99">
        <w:rPr>
          <w:rFonts w:asciiTheme="minorHAnsi" w:hAnsiTheme="minorHAnsi" w:cstheme="minorHAnsi"/>
        </w:rPr>
        <w:t xml:space="preserve"> service 3) cannot be requested </w:t>
      </w:r>
      <w:r w:rsidRPr="00601D99">
        <w:rPr>
          <w:rFonts w:asciiTheme="minorHAnsi" w:hAnsiTheme="minorHAnsi" w:cstheme="minorHAnsi"/>
          <w:bCs/>
        </w:rPr>
        <w:t>for the work of an individual candidate or the work of a candidate not in the original sample]</w:t>
      </w:r>
      <w:r w:rsidRPr="00601D99">
        <w:rPr>
          <w:rFonts w:asciiTheme="minorHAnsi" w:hAnsiTheme="minorHAnsi" w:cstheme="minorHAnsi"/>
        </w:rPr>
        <w:t xml:space="preserve"> </w:t>
      </w:r>
    </w:p>
    <w:p w14:paraId="6D38C978" w14:textId="77777777" w:rsidR="001F52D8" w:rsidRPr="00950906" w:rsidRDefault="001F52D8" w:rsidP="001F52D8">
      <w:pPr>
        <w:pStyle w:val="ListParagraph"/>
        <w:numPr>
          <w:ilvl w:val="0"/>
          <w:numId w:val="8"/>
        </w:numPr>
        <w:spacing w:after="80" w:line="276" w:lineRule="auto"/>
        <w:jc w:val="both"/>
        <w:rPr>
          <w:rFonts w:asciiTheme="minorHAnsi" w:hAnsiTheme="minorHAnsi" w:cstheme="minorHAnsi"/>
          <w:b/>
        </w:rPr>
      </w:pPr>
      <w:bookmarkStart w:id="2" w:name="_Hlk23406827"/>
      <w:bookmarkEnd w:id="1"/>
      <w:r w:rsidRPr="00950906">
        <w:rPr>
          <w:rFonts w:asciiTheme="minorHAnsi" w:hAnsiTheme="minorHAnsi" w:cstheme="minorHAnsi"/>
        </w:rPr>
        <w:t>If the candidate (or his/her parent/carer) believes there are grounds to appeal against the centre’s decision not to support a review of results, an internal appeal can be submitted to the centre by speaking first to Mr Hibberd or the Head. It there is still no consensus they can complete</w:t>
      </w:r>
      <w:r>
        <w:rPr>
          <w:rFonts w:asciiTheme="minorHAnsi" w:hAnsiTheme="minorHAnsi" w:cstheme="minorHAnsi"/>
        </w:rPr>
        <w:t xml:space="preserve"> the</w:t>
      </w:r>
      <w:r w:rsidRPr="00950906">
        <w:rPr>
          <w:rFonts w:asciiTheme="minorHAnsi" w:hAnsiTheme="minorHAnsi" w:cstheme="minorHAnsi"/>
        </w:rPr>
        <w:t xml:space="preserve"> </w:t>
      </w:r>
      <w:r>
        <w:rPr>
          <w:rFonts w:asciiTheme="minorHAnsi" w:hAnsiTheme="minorHAnsi" w:cstheme="minorHAnsi"/>
        </w:rPr>
        <w:t>internal appeals</w:t>
      </w:r>
      <w:r w:rsidRPr="00950906">
        <w:rPr>
          <w:rFonts w:asciiTheme="minorHAnsi" w:hAnsiTheme="minorHAnsi" w:cstheme="minorHAnsi"/>
        </w:rPr>
        <w:t xml:space="preserve"> form </w:t>
      </w:r>
      <w:r>
        <w:rPr>
          <w:rFonts w:asciiTheme="minorHAnsi" w:hAnsiTheme="minorHAnsi" w:cstheme="minorHAnsi"/>
        </w:rPr>
        <w:t xml:space="preserve">or email </w:t>
      </w:r>
      <w:r w:rsidRPr="00950906">
        <w:rPr>
          <w:rFonts w:asciiTheme="minorHAnsi" w:hAnsiTheme="minorHAnsi" w:cstheme="minorHAnsi"/>
        </w:rPr>
        <w:t>at least 3 days prior to the internal deadline for submitting a request for a review of results.</w:t>
      </w:r>
    </w:p>
    <w:p w14:paraId="3695E513" w14:textId="77777777" w:rsidR="001F52D8" w:rsidRPr="00950906" w:rsidRDefault="001F52D8" w:rsidP="001F52D8">
      <w:pPr>
        <w:pStyle w:val="ListParagraph"/>
        <w:numPr>
          <w:ilvl w:val="0"/>
          <w:numId w:val="8"/>
        </w:numPr>
        <w:spacing w:after="80" w:line="276" w:lineRule="auto"/>
        <w:jc w:val="both"/>
        <w:rPr>
          <w:rFonts w:asciiTheme="minorHAnsi" w:hAnsiTheme="minorHAnsi" w:cstheme="minorHAnsi"/>
        </w:rPr>
      </w:pPr>
      <w:r w:rsidRPr="00950906">
        <w:rPr>
          <w:rFonts w:asciiTheme="minorHAnsi" w:hAnsiTheme="minorHAnsi" w:cstheme="minorHAnsi"/>
        </w:rPr>
        <w:t>The appellant will be informed of the outcome of his/her appeal before the interna</w:t>
      </w:r>
      <w:r>
        <w:rPr>
          <w:rFonts w:asciiTheme="minorHAnsi" w:hAnsiTheme="minorHAnsi" w:cstheme="minorHAnsi"/>
        </w:rPr>
        <w:t>l deadline for submitting a Review of results</w:t>
      </w:r>
      <w:r w:rsidRPr="00950906">
        <w:rPr>
          <w:rFonts w:asciiTheme="minorHAnsi" w:hAnsiTheme="minorHAnsi" w:cstheme="minorHAnsi"/>
        </w:rPr>
        <w:t>.</w:t>
      </w:r>
    </w:p>
    <w:p w14:paraId="2F81D3B5" w14:textId="77777777" w:rsidR="001F52D8" w:rsidRPr="00950906" w:rsidRDefault="001F52D8" w:rsidP="001F52D8">
      <w:pPr>
        <w:spacing w:before="120" w:after="120" w:line="276" w:lineRule="auto"/>
        <w:jc w:val="both"/>
        <w:rPr>
          <w:rFonts w:asciiTheme="minorHAnsi" w:hAnsiTheme="minorHAnsi" w:cstheme="minorHAnsi"/>
          <w:sz w:val="24"/>
          <w:szCs w:val="24"/>
          <w:u w:val="single"/>
        </w:rPr>
      </w:pPr>
      <w:r w:rsidRPr="00950906">
        <w:rPr>
          <w:rFonts w:asciiTheme="minorHAnsi" w:hAnsiTheme="minorHAnsi" w:cstheme="minorHAnsi"/>
          <w:sz w:val="24"/>
          <w:szCs w:val="24"/>
          <w:u w:val="single"/>
        </w:rPr>
        <w:t>Grounds for appeal</w:t>
      </w:r>
    </w:p>
    <w:p w14:paraId="22A39D60" w14:textId="77777777" w:rsidR="001F52D8" w:rsidRPr="00950906" w:rsidRDefault="001F52D8" w:rsidP="001F52D8">
      <w:pPr>
        <w:pStyle w:val="ListParagraph"/>
        <w:numPr>
          <w:ilvl w:val="0"/>
          <w:numId w:val="9"/>
        </w:numPr>
        <w:spacing w:before="120" w:after="120" w:line="276" w:lineRule="auto"/>
        <w:jc w:val="both"/>
        <w:rPr>
          <w:rFonts w:asciiTheme="minorHAnsi" w:hAnsiTheme="minorHAnsi" w:cstheme="minorHAnsi"/>
        </w:rPr>
      </w:pPr>
      <w:r w:rsidRPr="00950906">
        <w:rPr>
          <w:rFonts w:asciiTheme="minorHAnsi" w:hAnsiTheme="minorHAnsi" w:cstheme="minorHAnsi"/>
        </w:rPr>
        <w:t>Following the Review of results outcome, an external appeals process is available if the Head remains dissatisfied with the outcome and believes there are grounds for appeal. The JCQ publications Post-Results Services and JCQ Appeals Booklet</w:t>
      </w:r>
      <w:r w:rsidRPr="00950906">
        <w:rPr>
          <w:rFonts w:asciiTheme="minorHAnsi" w:hAnsiTheme="minorHAnsi" w:cstheme="minorHAnsi"/>
          <w:b/>
          <w:bCs/>
        </w:rPr>
        <w:t xml:space="preserve"> </w:t>
      </w:r>
      <w:r w:rsidRPr="00950906">
        <w:rPr>
          <w:rFonts w:asciiTheme="minorHAnsi" w:hAnsiTheme="minorHAnsi" w:cstheme="minorHAnsi"/>
        </w:rPr>
        <w:t>(A guide to the awarding bodies’ appeals processes) will be consulted to determine the acceptable grounds for a preliminary appeal.</w:t>
      </w:r>
    </w:p>
    <w:p w14:paraId="79D91E73" w14:textId="77777777" w:rsidR="001F52D8" w:rsidRPr="00601D99" w:rsidRDefault="001F52D8" w:rsidP="001F52D8">
      <w:pPr>
        <w:pStyle w:val="Default"/>
        <w:numPr>
          <w:ilvl w:val="0"/>
          <w:numId w:val="9"/>
        </w:numPr>
        <w:spacing w:before="120" w:after="120" w:line="276" w:lineRule="auto"/>
        <w:jc w:val="both"/>
        <w:rPr>
          <w:rFonts w:asciiTheme="minorHAnsi" w:hAnsiTheme="minorHAnsi" w:cstheme="minorHAnsi"/>
          <w:bCs/>
        </w:rPr>
      </w:pPr>
      <w:r w:rsidRPr="00601D99">
        <w:rPr>
          <w:rFonts w:asciiTheme="minorHAnsi" w:hAnsiTheme="minorHAnsi" w:cstheme="minorHAnsi"/>
          <w:bCs/>
        </w:rPr>
        <w:lastRenderedPageBreak/>
        <w:t>Where the head of centre is s</w:t>
      </w:r>
      <w:r>
        <w:rPr>
          <w:rFonts w:asciiTheme="minorHAnsi" w:hAnsiTheme="minorHAnsi" w:cstheme="minorHAnsi"/>
          <w:bCs/>
        </w:rPr>
        <w:t>atisfied after receiving the review of results</w:t>
      </w:r>
      <w:r w:rsidRPr="00601D99">
        <w:rPr>
          <w:rFonts w:asciiTheme="minorHAnsi" w:hAnsiTheme="minorHAnsi" w:cstheme="minorHAnsi"/>
          <w:bCs/>
        </w:rPr>
        <w:t xml:space="preserve"> outcome, but the candidate (or his/her parent/carer) believes there are grounds for a preliminary appeal to the awarding body, </w:t>
      </w:r>
      <w:r>
        <w:rPr>
          <w:rFonts w:asciiTheme="minorHAnsi" w:hAnsiTheme="minorHAnsi" w:cstheme="minorHAnsi"/>
          <w:bCs/>
        </w:rPr>
        <w:t xml:space="preserve">after discussion </w:t>
      </w:r>
      <w:r w:rsidRPr="00601D99">
        <w:rPr>
          <w:rFonts w:asciiTheme="minorHAnsi" w:hAnsiTheme="minorHAnsi" w:cstheme="minorHAnsi"/>
          <w:bCs/>
        </w:rPr>
        <w:t xml:space="preserve">a further internal appeal may be made to the head of centre. Following this, the head of centre’s decision as to whether to proceed with a preliminary appeal will be based upon the acceptable grounds as detailed in the </w:t>
      </w:r>
      <w:r w:rsidRPr="00601D99">
        <w:rPr>
          <w:rFonts w:asciiTheme="minorHAnsi" w:hAnsiTheme="minorHAnsi" w:cstheme="minorHAnsi"/>
        </w:rPr>
        <w:t>JCQ Appeals Booklet</w:t>
      </w:r>
      <w:r w:rsidRPr="00601D99">
        <w:rPr>
          <w:rFonts w:asciiTheme="minorHAnsi" w:hAnsiTheme="minorHAnsi" w:cstheme="minorHAnsi"/>
          <w:bCs/>
        </w:rPr>
        <w:t>.  Candidates or parents/carers are not permitted to make direct representations to an awarding body.</w:t>
      </w:r>
    </w:p>
    <w:p w14:paraId="1E6A943C" w14:textId="77777777" w:rsidR="00547DCA" w:rsidRDefault="00547DCA" w:rsidP="001F52D8">
      <w:pPr>
        <w:pStyle w:val="Default"/>
        <w:spacing w:before="120" w:after="120" w:line="276" w:lineRule="auto"/>
        <w:jc w:val="both"/>
        <w:rPr>
          <w:rFonts w:asciiTheme="minorHAnsi" w:hAnsiTheme="minorHAnsi" w:cstheme="minorHAnsi"/>
          <w:bCs/>
          <w:u w:val="single"/>
        </w:rPr>
      </w:pPr>
    </w:p>
    <w:p w14:paraId="197212EC" w14:textId="34D65AEA" w:rsidR="001F52D8" w:rsidRDefault="001F52D8" w:rsidP="001F52D8">
      <w:pPr>
        <w:pStyle w:val="Default"/>
        <w:spacing w:before="120" w:after="120" w:line="276" w:lineRule="auto"/>
        <w:jc w:val="both"/>
        <w:rPr>
          <w:rFonts w:asciiTheme="minorHAnsi" w:hAnsiTheme="minorHAnsi" w:cstheme="minorHAnsi"/>
          <w:bCs/>
        </w:rPr>
      </w:pPr>
      <w:r w:rsidRPr="00950906">
        <w:rPr>
          <w:rFonts w:asciiTheme="minorHAnsi" w:hAnsiTheme="minorHAnsi" w:cstheme="minorHAnsi"/>
          <w:bCs/>
          <w:u w:val="single"/>
        </w:rPr>
        <w:t>Procedures</w:t>
      </w:r>
    </w:p>
    <w:p w14:paraId="484CA600" w14:textId="77777777" w:rsidR="001F52D8" w:rsidRPr="00EB1FF9" w:rsidRDefault="001F52D8" w:rsidP="001F52D8">
      <w:pPr>
        <w:pStyle w:val="Default"/>
        <w:spacing w:before="120" w:after="120" w:line="276" w:lineRule="auto"/>
        <w:jc w:val="both"/>
        <w:rPr>
          <w:rFonts w:asciiTheme="minorHAnsi" w:hAnsiTheme="minorHAnsi" w:cstheme="minorHAnsi"/>
        </w:rPr>
      </w:pPr>
      <w:r>
        <w:rPr>
          <w:rFonts w:asciiTheme="minorHAnsi" w:hAnsiTheme="minorHAnsi" w:cstheme="minorHAnsi"/>
          <w:bCs/>
        </w:rPr>
        <w:t>An email outlining the reasons for an appeal to the Exam Boards should</w:t>
      </w:r>
      <w:r w:rsidRPr="00601D99">
        <w:rPr>
          <w:rFonts w:asciiTheme="minorHAnsi" w:hAnsiTheme="minorHAnsi" w:cstheme="minorHAnsi"/>
          <w:bCs/>
        </w:rPr>
        <w:t xml:space="preserve"> be completed and submitt</w:t>
      </w:r>
      <w:r>
        <w:rPr>
          <w:rFonts w:asciiTheme="minorHAnsi" w:hAnsiTheme="minorHAnsi" w:cstheme="minorHAnsi"/>
          <w:bCs/>
        </w:rPr>
        <w:t>ed to the centre within 10 days</w:t>
      </w:r>
      <w:r w:rsidRPr="00601D99">
        <w:rPr>
          <w:rFonts w:asciiTheme="minorHAnsi" w:hAnsiTheme="minorHAnsi" w:cstheme="minorHAnsi"/>
          <w:bCs/>
        </w:rPr>
        <w:t xml:space="preserve"> </w:t>
      </w:r>
      <w:r w:rsidRPr="00601D99">
        <w:rPr>
          <w:rFonts w:asciiTheme="minorHAnsi" w:hAnsiTheme="minorHAnsi" w:cstheme="minorHAnsi"/>
        </w:rPr>
        <w:t>of the notifi</w:t>
      </w:r>
      <w:r>
        <w:rPr>
          <w:rFonts w:asciiTheme="minorHAnsi" w:hAnsiTheme="minorHAnsi" w:cstheme="minorHAnsi"/>
        </w:rPr>
        <w:t>cation of the outcome of the Review of results</w:t>
      </w:r>
      <w:r w:rsidRPr="00601D99">
        <w:rPr>
          <w:rFonts w:asciiTheme="minorHAnsi" w:hAnsiTheme="minorHAnsi" w:cstheme="minorHAnsi"/>
        </w:rPr>
        <w:t xml:space="preserve">. Subject to the head of centre’s decision, this will allow the centre to process the preliminary appeal and submit to the awarding body within the required </w:t>
      </w:r>
      <w:r w:rsidRPr="00601D99">
        <w:rPr>
          <w:rFonts w:asciiTheme="minorHAnsi" w:hAnsiTheme="minorHAnsi" w:cstheme="minorHAnsi"/>
          <w:b/>
        </w:rPr>
        <w:t>30 calendar days</w:t>
      </w:r>
      <w:r w:rsidRPr="00601D99">
        <w:rPr>
          <w:rFonts w:asciiTheme="minorHAnsi" w:hAnsiTheme="minorHAnsi" w:cstheme="minorHAnsi"/>
        </w:rPr>
        <w:t xml:space="preserve"> of </w:t>
      </w:r>
      <w:r>
        <w:rPr>
          <w:rFonts w:asciiTheme="minorHAnsi" w:hAnsiTheme="minorHAnsi" w:cstheme="minorHAnsi"/>
        </w:rPr>
        <w:t xml:space="preserve">the awarding body issuing the outcome. </w:t>
      </w:r>
      <w:r w:rsidRPr="00601D99">
        <w:rPr>
          <w:rFonts w:asciiTheme="minorHAnsi" w:hAnsiTheme="minorHAnsi" w:cstheme="minorHAnsi"/>
        </w:rPr>
        <w:t>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to the appellant by the centre</w:t>
      </w:r>
      <w:bookmarkEnd w:id="2"/>
    </w:p>
    <w:p w14:paraId="3F8925AB" w14:textId="77777777" w:rsidR="001F52D8" w:rsidRDefault="001F52D8" w:rsidP="001F52D8">
      <w:pPr>
        <w:spacing w:after="200" w:line="276" w:lineRule="auto"/>
        <w:rPr>
          <w:rFonts w:asciiTheme="minorHAnsi" w:eastAsia="Times New Roman" w:hAnsiTheme="minorHAnsi" w:cstheme="minorHAnsi"/>
          <w:b/>
          <w:color w:val="003399"/>
          <w:sz w:val="24"/>
          <w:szCs w:val="24"/>
        </w:rPr>
      </w:pPr>
    </w:p>
    <w:p w14:paraId="575D14D6" w14:textId="77777777" w:rsidR="008725F7" w:rsidRDefault="008725F7" w:rsidP="008725F7">
      <w:pPr>
        <w:spacing w:after="200" w:line="276" w:lineRule="auto"/>
        <w:rPr>
          <w:rFonts w:asciiTheme="minorHAnsi" w:eastAsia="Times New Roman" w:hAnsiTheme="minorHAnsi" w:cstheme="minorHAnsi"/>
          <w:b/>
          <w:color w:val="003399"/>
          <w:sz w:val="24"/>
          <w:szCs w:val="24"/>
        </w:rPr>
      </w:pPr>
    </w:p>
    <w:p w14:paraId="3C7D496B" w14:textId="77777777" w:rsidR="008725F7" w:rsidRDefault="008725F7" w:rsidP="008725F7">
      <w:pPr>
        <w:spacing w:after="200" w:line="276" w:lineRule="auto"/>
        <w:rPr>
          <w:rFonts w:asciiTheme="minorHAnsi" w:eastAsia="Times New Roman" w:hAnsiTheme="minorHAnsi" w:cstheme="minorHAnsi"/>
          <w:b/>
          <w:color w:val="003399"/>
          <w:sz w:val="24"/>
          <w:szCs w:val="24"/>
        </w:rPr>
      </w:pPr>
    </w:p>
    <w:p w14:paraId="32CE9EC8" w14:textId="77777777" w:rsidR="008725F7" w:rsidRDefault="008725F7" w:rsidP="008725F7">
      <w:pPr>
        <w:spacing w:after="200" w:line="276" w:lineRule="auto"/>
        <w:rPr>
          <w:rFonts w:asciiTheme="minorHAnsi" w:eastAsia="Times New Roman" w:hAnsiTheme="minorHAnsi" w:cstheme="minorHAnsi"/>
          <w:b/>
          <w:color w:val="003399"/>
          <w:sz w:val="24"/>
          <w:szCs w:val="24"/>
        </w:rPr>
      </w:pPr>
    </w:p>
    <w:p w14:paraId="23C32871" w14:textId="77777777" w:rsidR="008725F7" w:rsidRDefault="008725F7" w:rsidP="008725F7">
      <w:pPr>
        <w:spacing w:after="200" w:line="276" w:lineRule="auto"/>
        <w:rPr>
          <w:rFonts w:asciiTheme="minorHAnsi" w:eastAsia="Times New Roman" w:hAnsiTheme="minorHAnsi" w:cstheme="minorHAnsi"/>
          <w:b/>
          <w:color w:val="003399"/>
          <w:sz w:val="24"/>
          <w:szCs w:val="24"/>
        </w:rPr>
      </w:pPr>
    </w:p>
    <w:p w14:paraId="6039BA98" w14:textId="77777777" w:rsidR="008725F7" w:rsidRDefault="008725F7" w:rsidP="008725F7">
      <w:pPr>
        <w:spacing w:after="200" w:line="276" w:lineRule="auto"/>
        <w:rPr>
          <w:rFonts w:asciiTheme="minorHAnsi" w:eastAsia="Times New Roman" w:hAnsiTheme="minorHAnsi" w:cstheme="minorHAnsi"/>
          <w:b/>
          <w:color w:val="003399"/>
          <w:sz w:val="24"/>
          <w:szCs w:val="24"/>
        </w:rPr>
      </w:pPr>
    </w:p>
    <w:p w14:paraId="368DC9F4" w14:textId="77777777" w:rsidR="008725F7" w:rsidRDefault="008725F7" w:rsidP="008725F7">
      <w:pPr>
        <w:spacing w:after="200" w:line="276" w:lineRule="auto"/>
        <w:rPr>
          <w:rFonts w:asciiTheme="minorHAnsi" w:eastAsia="Times New Roman" w:hAnsiTheme="minorHAnsi" w:cstheme="minorHAnsi"/>
          <w:b/>
          <w:color w:val="003399"/>
          <w:sz w:val="24"/>
          <w:szCs w:val="24"/>
        </w:rPr>
      </w:pPr>
    </w:p>
    <w:p w14:paraId="4972CB48" w14:textId="77777777" w:rsidR="008725F7" w:rsidRDefault="008725F7" w:rsidP="008725F7">
      <w:pPr>
        <w:spacing w:after="200" w:line="276" w:lineRule="auto"/>
        <w:rPr>
          <w:rFonts w:asciiTheme="minorHAnsi" w:eastAsia="Times New Roman" w:hAnsiTheme="minorHAnsi" w:cstheme="minorHAnsi"/>
          <w:b/>
          <w:color w:val="003399"/>
          <w:sz w:val="24"/>
          <w:szCs w:val="24"/>
        </w:rPr>
      </w:pPr>
    </w:p>
    <w:p w14:paraId="54326B5C" w14:textId="77777777" w:rsidR="008725F7" w:rsidRDefault="008725F7" w:rsidP="008725F7">
      <w:pPr>
        <w:spacing w:after="200" w:line="276" w:lineRule="auto"/>
        <w:rPr>
          <w:rFonts w:asciiTheme="minorHAnsi" w:eastAsia="Times New Roman" w:hAnsiTheme="minorHAnsi" w:cstheme="minorHAnsi"/>
          <w:b/>
          <w:color w:val="003399"/>
          <w:sz w:val="24"/>
          <w:szCs w:val="24"/>
        </w:rPr>
      </w:pPr>
    </w:p>
    <w:p w14:paraId="14767464" w14:textId="77777777" w:rsidR="008725F7" w:rsidRDefault="008725F7" w:rsidP="008725F7">
      <w:pPr>
        <w:spacing w:after="200" w:line="276" w:lineRule="auto"/>
        <w:rPr>
          <w:rFonts w:asciiTheme="minorHAnsi" w:eastAsia="Times New Roman" w:hAnsiTheme="minorHAnsi" w:cstheme="minorHAnsi"/>
          <w:b/>
          <w:color w:val="003399"/>
          <w:sz w:val="24"/>
          <w:szCs w:val="24"/>
        </w:rPr>
      </w:pPr>
    </w:p>
    <w:p w14:paraId="60EDA784" w14:textId="77777777" w:rsidR="00547DCA" w:rsidRDefault="00547DCA" w:rsidP="008725F7">
      <w:pPr>
        <w:spacing w:after="200" w:line="276" w:lineRule="auto"/>
        <w:rPr>
          <w:rFonts w:asciiTheme="minorHAnsi" w:eastAsia="Times New Roman" w:hAnsiTheme="minorHAnsi" w:cstheme="minorHAnsi"/>
          <w:b/>
          <w:color w:val="003399"/>
          <w:sz w:val="24"/>
          <w:szCs w:val="24"/>
        </w:rPr>
      </w:pPr>
    </w:p>
    <w:p w14:paraId="770B0B30" w14:textId="77777777" w:rsidR="00547DCA" w:rsidRDefault="00547DCA" w:rsidP="008725F7">
      <w:pPr>
        <w:spacing w:after="200" w:line="276" w:lineRule="auto"/>
        <w:rPr>
          <w:rFonts w:asciiTheme="minorHAnsi" w:eastAsia="Times New Roman" w:hAnsiTheme="minorHAnsi" w:cstheme="minorHAnsi"/>
          <w:b/>
          <w:color w:val="003399"/>
          <w:sz w:val="24"/>
          <w:szCs w:val="24"/>
        </w:rPr>
      </w:pPr>
    </w:p>
    <w:p w14:paraId="4588C9F2" w14:textId="77777777" w:rsidR="00547DCA" w:rsidRDefault="00547DCA" w:rsidP="008725F7">
      <w:pPr>
        <w:spacing w:after="200" w:line="276" w:lineRule="auto"/>
        <w:rPr>
          <w:rFonts w:asciiTheme="minorHAnsi" w:eastAsia="Times New Roman" w:hAnsiTheme="minorHAnsi" w:cstheme="minorHAnsi"/>
          <w:b/>
          <w:color w:val="003399"/>
          <w:sz w:val="24"/>
          <w:szCs w:val="24"/>
        </w:rPr>
      </w:pPr>
    </w:p>
    <w:tbl>
      <w:tblPr>
        <w:tblStyle w:val="TableGrid"/>
        <w:tblW w:w="0" w:type="auto"/>
        <w:tblLook w:val="04A0" w:firstRow="1" w:lastRow="0" w:firstColumn="1" w:lastColumn="0" w:noHBand="0" w:noVBand="1"/>
      </w:tblPr>
      <w:tblGrid>
        <w:gridCol w:w="5645"/>
        <w:gridCol w:w="1476"/>
        <w:gridCol w:w="1900"/>
      </w:tblGrid>
      <w:tr w:rsidR="008725F7" w:rsidRPr="00D753EA" w14:paraId="03820B10" w14:textId="77777777" w:rsidTr="00907BE5">
        <w:tc>
          <w:tcPr>
            <w:tcW w:w="5645" w:type="dxa"/>
            <w:vMerge w:val="restart"/>
            <w:tcBorders>
              <w:top w:val="nil"/>
              <w:left w:val="nil"/>
            </w:tcBorders>
            <w:vAlign w:val="center"/>
          </w:tcPr>
          <w:p w14:paraId="62996881" w14:textId="0741838B" w:rsidR="008725F7" w:rsidRPr="00D753EA" w:rsidRDefault="00907BE5" w:rsidP="00A366FC">
            <w:pPr>
              <w:spacing w:before="120" w:after="120" w:line="276" w:lineRule="auto"/>
              <w:rPr>
                <w:rFonts w:asciiTheme="minorHAnsi" w:eastAsia="Times New Roman" w:hAnsiTheme="minorHAnsi" w:cstheme="minorHAnsi"/>
                <w:b/>
                <w:color w:val="003399"/>
                <w:sz w:val="32"/>
                <w:szCs w:val="32"/>
              </w:rPr>
            </w:pPr>
            <w:r>
              <w:rPr>
                <w:rFonts w:asciiTheme="minorHAnsi" w:eastAsia="Times New Roman" w:hAnsiTheme="minorHAnsi" w:cstheme="minorHAnsi"/>
                <w:b/>
                <w:color w:val="003399"/>
                <w:sz w:val="32"/>
                <w:szCs w:val="32"/>
              </w:rPr>
              <w:lastRenderedPageBreak/>
              <w:t>I</w:t>
            </w:r>
            <w:r w:rsidR="008725F7" w:rsidRPr="00D753EA">
              <w:rPr>
                <w:rFonts w:asciiTheme="minorHAnsi" w:eastAsia="Times New Roman" w:hAnsiTheme="minorHAnsi" w:cstheme="minorHAnsi"/>
                <w:b/>
                <w:color w:val="003399"/>
                <w:sz w:val="32"/>
                <w:szCs w:val="32"/>
              </w:rPr>
              <w:t>nternal appeals form</w:t>
            </w:r>
          </w:p>
        </w:tc>
        <w:tc>
          <w:tcPr>
            <w:tcW w:w="3376" w:type="dxa"/>
            <w:gridSpan w:val="2"/>
            <w:shd w:val="clear" w:color="auto" w:fill="E2EFD9" w:themeFill="accent6" w:themeFillTint="33"/>
            <w:vAlign w:val="center"/>
          </w:tcPr>
          <w:p w14:paraId="324B0816" w14:textId="77777777" w:rsidR="008725F7" w:rsidRPr="00D753EA" w:rsidRDefault="008725F7" w:rsidP="00A366FC">
            <w:pPr>
              <w:spacing w:before="120" w:after="120"/>
              <w:jc w:val="center"/>
              <w:rPr>
                <w:rFonts w:asciiTheme="minorHAnsi" w:eastAsia="Times New Roman" w:hAnsiTheme="minorHAnsi" w:cstheme="minorHAnsi"/>
                <w:b/>
                <w:color w:val="003399"/>
                <w:sz w:val="28"/>
                <w:szCs w:val="28"/>
              </w:rPr>
            </w:pPr>
            <w:r w:rsidRPr="00D753EA">
              <w:rPr>
                <w:rFonts w:asciiTheme="minorHAnsi" w:hAnsiTheme="minorHAnsi" w:cstheme="minorHAnsi"/>
                <w:b/>
                <w:color w:val="FF3300"/>
                <w:sz w:val="20"/>
                <w:szCs w:val="20"/>
              </w:rPr>
              <w:t>FOR CENTRE USE ONLY</w:t>
            </w:r>
          </w:p>
        </w:tc>
      </w:tr>
      <w:tr w:rsidR="008725F7" w:rsidRPr="00D753EA" w14:paraId="78F32BF0" w14:textId="77777777" w:rsidTr="00907BE5">
        <w:trPr>
          <w:trHeight w:val="310"/>
        </w:trPr>
        <w:tc>
          <w:tcPr>
            <w:tcW w:w="5645" w:type="dxa"/>
            <w:vMerge/>
            <w:tcBorders>
              <w:left w:val="nil"/>
              <w:bottom w:val="nil"/>
            </w:tcBorders>
          </w:tcPr>
          <w:p w14:paraId="2EEF1AD6" w14:textId="77777777" w:rsidR="008725F7" w:rsidRPr="00D753EA" w:rsidRDefault="008725F7" w:rsidP="00A366FC">
            <w:pPr>
              <w:spacing w:before="120" w:after="120" w:line="276" w:lineRule="auto"/>
              <w:rPr>
                <w:rFonts w:asciiTheme="minorHAnsi" w:eastAsia="Times New Roman" w:hAnsiTheme="minorHAnsi" w:cstheme="minorHAnsi"/>
                <w:sz w:val="20"/>
                <w:szCs w:val="20"/>
              </w:rPr>
            </w:pPr>
          </w:p>
        </w:tc>
        <w:tc>
          <w:tcPr>
            <w:tcW w:w="1476" w:type="dxa"/>
            <w:shd w:val="clear" w:color="auto" w:fill="E2EFD9" w:themeFill="accent6" w:themeFillTint="33"/>
            <w:vAlign w:val="center"/>
          </w:tcPr>
          <w:p w14:paraId="25E55C29" w14:textId="77777777" w:rsidR="008725F7" w:rsidRPr="00D753EA" w:rsidRDefault="008725F7" w:rsidP="00A366FC">
            <w:pPr>
              <w:spacing w:before="120" w:after="120" w:line="276" w:lineRule="auto"/>
              <w:rPr>
                <w:rFonts w:asciiTheme="minorHAnsi" w:eastAsia="Times New Roman" w:hAnsiTheme="minorHAnsi" w:cstheme="minorHAnsi"/>
                <w:color w:val="003399"/>
                <w:sz w:val="28"/>
                <w:szCs w:val="28"/>
              </w:rPr>
            </w:pPr>
            <w:r w:rsidRPr="00D753EA">
              <w:rPr>
                <w:rFonts w:asciiTheme="minorHAnsi" w:hAnsiTheme="minorHAnsi" w:cstheme="minorHAnsi"/>
                <w:color w:val="FF3300"/>
                <w:sz w:val="20"/>
                <w:szCs w:val="20"/>
              </w:rPr>
              <w:t>Date received</w:t>
            </w:r>
          </w:p>
        </w:tc>
        <w:tc>
          <w:tcPr>
            <w:tcW w:w="1900" w:type="dxa"/>
          </w:tcPr>
          <w:p w14:paraId="6B0D5141" w14:textId="77777777" w:rsidR="008725F7" w:rsidRPr="00D753EA" w:rsidRDefault="008725F7" w:rsidP="00A366FC">
            <w:pPr>
              <w:spacing w:before="120" w:after="120" w:line="276" w:lineRule="auto"/>
              <w:rPr>
                <w:rFonts w:asciiTheme="minorHAnsi" w:eastAsia="Times New Roman" w:hAnsiTheme="minorHAnsi" w:cstheme="minorHAnsi"/>
                <w:b/>
                <w:color w:val="003399"/>
                <w:sz w:val="28"/>
                <w:szCs w:val="28"/>
              </w:rPr>
            </w:pPr>
          </w:p>
        </w:tc>
      </w:tr>
      <w:tr w:rsidR="008725F7" w:rsidRPr="00D753EA" w14:paraId="68000328" w14:textId="77777777" w:rsidTr="00907BE5">
        <w:trPr>
          <w:trHeight w:val="579"/>
        </w:trPr>
        <w:tc>
          <w:tcPr>
            <w:tcW w:w="5645" w:type="dxa"/>
            <w:tcBorders>
              <w:top w:val="nil"/>
              <w:left w:val="nil"/>
              <w:bottom w:val="nil"/>
            </w:tcBorders>
            <w:vAlign w:val="bottom"/>
          </w:tcPr>
          <w:p w14:paraId="23E983CF" w14:textId="77777777" w:rsidR="008725F7" w:rsidRPr="00D753EA" w:rsidRDefault="008725F7" w:rsidP="00A366FC">
            <w:pPr>
              <w:spacing w:before="120" w:after="0" w:line="276" w:lineRule="auto"/>
              <w:rPr>
                <w:rFonts w:asciiTheme="minorHAnsi" w:eastAsia="Times New Roman" w:hAnsiTheme="minorHAnsi" w:cstheme="minorHAnsi"/>
                <w:b/>
                <w:color w:val="003399"/>
                <w:sz w:val="28"/>
                <w:szCs w:val="28"/>
              </w:rPr>
            </w:pPr>
            <w:r w:rsidRPr="00D753EA">
              <w:rPr>
                <w:rFonts w:asciiTheme="minorHAnsi" w:eastAsia="Times New Roman" w:hAnsiTheme="minorHAnsi" w:cstheme="minorHAnsi"/>
                <w:sz w:val="20"/>
                <w:szCs w:val="20"/>
              </w:rPr>
              <w:t xml:space="preserve">Please tick box to indicate the nature of your appeal and complete all white boxes on the form below </w:t>
            </w:r>
          </w:p>
        </w:tc>
        <w:tc>
          <w:tcPr>
            <w:tcW w:w="1476" w:type="dxa"/>
            <w:shd w:val="clear" w:color="auto" w:fill="E2EFD9" w:themeFill="accent6" w:themeFillTint="33"/>
            <w:vAlign w:val="center"/>
          </w:tcPr>
          <w:p w14:paraId="50726C26" w14:textId="77777777" w:rsidR="008725F7" w:rsidRPr="00D753EA" w:rsidRDefault="008725F7" w:rsidP="00A366FC">
            <w:pPr>
              <w:spacing w:before="120" w:after="120" w:line="276" w:lineRule="auto"/>
              <w:rPr>
                <w:rFonts w:asciiTheme="minorHAnsi" w:hAnsiTheme="minorHAnsi" w:cstheme="minorHAnsi"/>
                <w:color w:val="FF3300"/>
                <w:sz w:val="20"/>
                <w:szCs w:val="20"/>
              </w:rPr>
            </w:pPr>
            <w:r w:rsidRPr="00D753EA">
              <w:rPr>
                <w:rFonts w:asciiTheme="minorHAnsi" w:hAnsiTheme="minorHAnsi" w:cstheme="minorHAnsi"/>
                <w:color w:val="FF3300"/>
                <w:sz w:val="20"/>
                <w:szCs w:val="20"/>
              </w:rPr>
              <w:t xml:space="preserve">Reference No. </w:t>
            </w:r>
          </w:p>
        </w:tc>
        <w:tc>
          <w:tcPr>
            <w:tcW w:w="1900" w:type="dxa"/>
          </w:tcPr>
          <w:p w14:paraId="50ABC060" w14:textId="77777777" w:rsidR="008725F7" w:rsidRPr="00D753EA" w:rsidRDefault="008725F7" w:rsidP="00A366FC">
            <w:pPr>
              <w:spacing w:before="120" w:after="120" w:line="276" w:lineRule="auto"/>
              <w:rPr>
                <w:rFonts w:asciiTheme="minorHAnsi" w:eastAsia="Times New Roman" w:hAnsiTheme="minorHAnsi" w:cstheme="minorHAnsi"/>
                <w:b/>
                <w:color w:val="003399"/>
                <w:sz w:val="28"/>
                <w:szCs w:val="28"/>
              </w:rPr>
            </w:pPr>
          </w:p>
        </w:tc>
      </w:tr>
    </w:tbl>
    <w:p w14:paraId="6385FF07" w14:textId="77777777" w:rsidR="008725F7" w:rsidRPr="00D753EA" w:rsidRDefault="008725F7" w:rsidP="008725F7">
      <w:pPr>
        <w:pStyle w:val="ListParagraph"/>
        <w:numPr>
          <w:ilvl w:val="0"/>
          <w:numId w:val="12"/>
        </w:numPr>
        <w:spacing w:before="120" w:after="120" w:line="276" w:lineRule="auto"/>
        <w:ind w:left="426" w:hanging="426"/>
        <w:rPr>
          <w:rFonts w:asciiTheme="minorHAnsi" w:hAnsiTheme="minorHAnsi" w:cstheme="minorHAnsi"/>
        </w:rPr>
      </w:pPr>
      <w:r w:rsidRPr="00D753EA">
        <w:rPr>
          <w:rFonts w:asciiTheme="minorHAnsi" w:hAnsiTheme="minorHAnsi" w:cstheme="minorHAnsi"/>
        </w:rPr>
        <w:t>Appeal against an internal assessment decision and/or request for a review of marking</w:t>
      </w:r>
    </w:p>
    <w:p w14:paraId="2695A628" w14:textId="77777777" w:rsidR="008725F7" w:rsidRPr="00D753EA" w:rsidRDefault="008725F7" w:rsidP="008725F7">
      <w:pPr>
        <w:pStyle w:val="ListParagraph"/>
        <w:numPr>
          <w:ilvl w:val="0"/>
          <w:numId w:val="12"/>
        </w:numPr>
        <w:spacing w:before="120" w:after="120" w:line="276" w:lineRule="auto"/>
        <w:ind w:left="426" w:hanging="426"/>
        <w:rPr>
          <w:rFonts w:asciiTheme="minorHAnsi" w:hAnsiTheme="minorHAnsi" w:cstheme="minorHAnsi"/>
        </w:rPr>
      </w:pPr>
      <w:r w:rsidRPr="00D753EA">
        <w:rPr>
          <w:rFonts w:asciiTheme="minorHAnsi" w:hAnsiTheme="minorHAnsi" w:cstheme="minorHAnsi"/>
        </w:rPr>
        <w:t>Appeal against the centre’s decision not to support a clerical check,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554"/>
        <w:gridCol w:w="2591"/>
        <w:gridCol w:w="1547"/>
        <w:gridCol w:w="3272"/>
      </w:tblGrid>
      <w:tr w:rsidR="008725F7" w:rsidRPr="00D753EA" w14:paraId="07174E22" w14:textId="77777777" w:rsidTr="00A366FC">
        <w:trPr>
          <w:cantSplit/>
          <w:trHeight w:val="596"/>
          <w:tblHeader/>
        </w:trPr>
        <w:tc>
          <w:tcPr>
            <w:tcW w:w="867" w:type="pct"/>
            <w:shd w:val="clear" w:color="auto" w:fill="003399"/>
            <w:vAlign w:val="center"/>
          </w:tcPr>
          <w:p w14:paraId="5614149C" w14:textId="77777777" w:rsidR="008725F7" w:rsidRPr="00D753EA" w:rsidRDefault="008725F7" w:rsidP="00A366FC">
            <w:pPr>
              <w:spacing w:before="120" w:after="120" w:line="276" w:lineRule="auto"/>
              <w:rPr>
                <w:rFonts w:asciiTheme="minorHAnsi" w:eastAsia="Times New Roman" w:hAnsiTheme="minorHAnsi" w:cstheme="minorHAnsi"/>
                <w:b/>
                <w:color w:val="FFFFFF" w:themeColor="background1"/>
                <w:sz w:val="20"/>
                <w:szCs w:val="20"/>
              </w:rPr>
            </w:pPr>
            <w:r w:rsidRPr="00D753EA">
              <w:rPr>
                <w:rFonts w:asciiTheme="minorHAnsi" w:eastAsia="Times New Roman" w:hAnsiTheme="minorHAnsi" w:cstheme="minorHAnsi"/>
                <w:b/>
                <w:color w:val="FFFFFF" w:themeColor="background1"/>
                <w:sz w:val="20"/>
                <w:szCs w:val="20"/>
              </w:rPr>
              <w:t>Name of appellant</w:t>
            </w:r>
          </w:p>
        </w:tc>
        <w:tc>
          <w:tcPr>
            <w:tcW w:w="1445" w:type="pct"/>
            <w:shd w:val="clear" w:color="auto" w:fill="auto"/>
            <w:vAlign w:val="center"/>
          </w:tcPr>
          <w:p w14:paraId="5B679AD5" w14:textId="77777777" w:rsidR="008725F7" w:rsidRPr="00D753EA" w:rsidRDefault="008725F7" w:rsidP="00A366FC">
            <w:pPr>
              <w:spacing w:before="120" w:after="120" w:line="276" w:lineRule="auto"/>
              <w:rPr>
                <w:rFonts w:asciiTheme="minorHAnsi" w:eastAsia="Times New Roman" w:hAnsiTheme="minorHAnsi" w:cstheme="minorHAnsi"/>
                <w:b/>
                <w:color w:val="FFFFFF" w:themeColor="background1"/>
                <w:sz w:val="20"/>
                <w:szCs w:val="20"/>
              </w:rPr>
            </w:pPr>
          </w:p>
        </w:tc>
        <w:tc>
          <w:tcPr>
            <w:tcW w:w="863" w:type="pct"/>
            <w:shd w:val="clear" w:color="auto" w:fill="003399"/>
            <w:vAlign w:val="center"/>
          </w:tcPr>
          <w:p w14:paraId="30ABC861" w14:textId="77777777" w:rsidR="008725F7" w:rsidRPr="00D753EA" w:rsidRDefault="008725F7" w:rsidP="00A366FC">
            <w:pPr>
              <w:spacing w:before="120" w:after="0" w:line="276" w:lineRule="auto"/>
              <w:rPr>
                <w:rFonts w:asciiTheme="minorHAnsi" w:eastAsia="Times New Roman" w:hAnsiTheme="minorHAnsi" w:cstheme="minorHAnsi"/>
                <w:b/>
                <w:color w:val="FFFFFF" w:themeColor="background1"/>
                <w:sz w:val="20"/>
                <w:szCs w:val="20"/>
              </w:rPr>
            </w:pPr>
            <w:r w:rsidRPr="00D753EA">
              <w:rPr>
                <w:rFonts w:asciiTheme="minorHAnsi" w:eastAsia="Times New Roman" w:hAnsiTheme="minorHAnsi" w:cstheme="minorHAnsi"/>
                <w:b/>
                <w:color w:val="FFFFFF" w:themeColor="background1"/>
                <w:sz w:val="20"/>
                <w:szCs w:val="20"/>
              </w:rPr>
              <w:t xml:space="preserve">Candidate name </w:t>
            </w:r>
          </w:p>
          <w:p w14:paraId="4932F366" w14:textId="77777777" w:rsidR="008725F7" w:rsidRPr="00D753EA" w:rsidRDefault="008725F7" w:rsidP="00A366FC">
            <w:pPr>
              <w:spacing w:after="0" w:line="276" w:lineRule="auto"/>
              <w:rPr>
                <w:rFonts w:asciiTheme="minorHAnsi" w:eastAsia="Times New Roman" w:hAnsiTheme="minorHAnsi" w:cstheme="minorHAnsi"/>
                <w:b/>
                <w:color w:val="FFFFFF" w:themeColor="background1"/>
                <w:sz w:val="20"/>
                <w:szCs w:val="20"/>
              </w:rPr>
            </w:pPr>
            <w:r w:rsidRPr="00D753EA">
              <w:rPr>
                <w:rFonts w:asciiTheme="minorHAnsi" w:eastAsia="Times New Roman" w:hAnsiTheme="minorHAnsi" w:cstheme="minorHAnsi"/>
                <w:color w:val="FFFFFF" w:themeColor="background1"/>
                <w:sz w:val="20"/>
                <w:szCs w:val="20"/>
              </w:rPr>
              <w:t>if different to appellant</w:t>
            </w:r>
          </w:p>
        </w:tc>
        <w:tc>
          <w:tcPr>
            <w:tcW w:w="1825" w:type="pct"/>
            <w:shd w:val="clear" w:color="auto" w:fill="auto"/>
            <w:vAlign w:val="center"/>
          </w:tcPr>
          <w:p w14:paraId="42B078CE" w14:textId="77777777" w:rsidR="008725F7" w:rsidRPr="00D753EA" w:rsidRDefault="008725F7" w:rsidP="00A366FC">
            <w:pPr>
              <w:spacing w:before="120" w:after="120" w:line="276" w:lineRule="auto"/>
              <w:rPr>
                <w:rFonts w:asciiTheme="minorHAnsi" w:eastAsia="Times New Roman" w:hAnsiTheme="minorHAnsi" w:cstheme="minorHAnsi"/>
                <w:b/>
                <w:color w:val="FFFFFF" w:themeColor="background1"/>
                <w:sz w:val="20"/>
                <w:szCs w:val="20"/>
              </w:rPr>
            </w:pPr>
          </w:p>
        </w:tc>
      </w:tr>
      <w:tr w:rsidR="008725F7" w:rsidRPr="00D753EA" w14:paraId="3231CE59" w14:textId="77777777" w:rsidTr="00A366FC">
        <w:trPr>
          <w:trHeight w:val="448"/>
          <w:tblHeader/>
        </w:trPr>
        <w:tc>
          <w:tcPr>
            <w:tcW w:w="867" w:type="pct"/>
            <w:shd w:val="clear" w:color="auto" w:fill="E2EFD9" w:themeFill="accent6" w:themeFillTint="33"/>
            <w:vAlign w:val="center"/>
          </w:tcPr>
          <w:p w14:paraId="241D12EB" w14:textId="77777777" w:rsidR="008725F7" w:rsidRPr="00D753EA" w:rsidRDefault="008725F7" w:rsidP="00A366FC">
            <w:pPr>
              <w:spacing w:before="120" w:after="120" w:line="276" w:lineRule="auto"/>
              <w:rPr>
                <w:rFonts w:asciiTheme="minorHAnsi" w:eastAsia="Times New Roman" w:hAnsiTheme="minorHAnsi" w:cstheme="minorHAnsi"/>
                <w:b/>
                <w:color w:val="FF3300"/>
                <w:sz w:val="20"/>
                <w:szCs w:val="20"/>
              </w:rPr>
            </w:pPr>
            <w:r w:rsidRPr="00D753EA">
              <w:rPr>
                <w:rFonts w:asciiTheme="minorHAnsi" w:eastAsia="Times New Roman" w:hAnsiTheme="minorHAnsi" w:cstheme="minorHAnsi"/>
                <w:b/>
                <w:color w:val="FF3300"/>
                <w:sz w:val="20"/>
                <w:szCs w:val="20"/>
              </w:rPr>
              <w:t>Awarding body</w:t>
            </w:r>
          </w:p>
        </w:tc>
        <w:tc>
          <w:tcPr>
            <w:tcW w:w="1445" w:type="pct"/>
            <w:shd w:val="clear" w:color="auto" w:fill="auto"/>
            <w:vAlign w:val="center"/>
          </w:tcPr>
          <w:p w14:paraId="0A6B8D6D" w14:textId="77777777" w:rsidR="008725F7" w:rsidRPr="00D753EA" w:rsidRDefault="008725F7" w:rsidP="00A366FC">
            <w:pPr>
              <w:spacing w:before="120" w:after="120" w:line="276" w:lineRule="auto"/>
              <w:rPr>
                <w:rFonts w:asciiTheme="minorHAnsi" w:eastAsia="Times New Roman" w:hAnsiTheme="minorHAnsi" w:cstheme="minorHAnsi"/>
                <w:b/>
                <w:i/>
                <w:color w:val="BFBFBF" w:themeColor="background1" w:themeShade="BF"/>
                <w:sz w:val="20"/>
                <w:szCs w:val="20"/>
              </w:rPr>
            </w:pPr>
          </w:p>
        </w:tc>
        <w:tc>
          <w:tcPr>
            <w:tcW w:w="863" w:type="pct"/>
            <w:shd w:val="clear" w:color="auto" w:fill="E2EFD9" w:themeFill="accent6" w:themeFillTint="33"/>
            <w:vAlign w:val="center"/>
          </w:tcPr>
          <w:p w14:paraId="5B1D5015" w14:textId="77777777" w:rsidR="008725F7" w:rsidRPr="00D753EA" w:rsidRDefault="008725F7" w:rsidP="00A366FC">
            <w:pPr>
              <w:spacing w:before="120" w:after="120" w:line="276" w:lineRule="auto"/>
              <w:rPr>
                <w:rFonts w:asciiTheme="minorHAnsi" w:eastAsia="Times New Roman" w:hAnsiTheme="minorHAnsi" w:cstheme="minorHAnsi"/>
                <w:b/>
                <w:color w:val="FF3300"/>
                <w:sz w:val="20"/>
                <w:szCs w:val="20"/>
              </w:rPr>
            </w:pPr>
            <w:r w:rsidRPr="00D753EA">
              <w:rPr>
                <w:rFonts w:asciiTheme="minorHAnsi" w:eastAsia="Times New Roman" w:hAnsiTheme="minorHAnsi" w:cstheme="minorHAnsi"/>
                <w:b/>
                <w:color w:val="FF3300"/>
                <w:sz w:val="20"/>
                <w:szCs w:val="20"/>
              </w:rPr>
              <w:t>Exam paper code</w:t>
            </w:r>
          </w:p>
        </w:tc>
        <w:tc>
          <w:tcPr>
            <w:tcW w:w="1825" w:type="pct"/>
            <w:shd w:val="clear" w:color="auto" w:fill="auto"/>
            <w:vAlign w:val="center"/>
          </w:tcPr>
          <w:p w14:paraId="0E962C65" w14:textId="77777777" w:rsidR="008725F7" w:rsidRPr="00D753EA" w:rsidRDefault="008725F7" w:rsidP="00A366FC">
            <w:pPr>
              <w:spacing w:before="120" w:after="120" w:line="276" w:lineRule="auto"/>
              <w:rPr>
                <w:rFonts w:asciiTheme="minorHAnsi" w:eastAsia="Times New Roman" w:hAnsiTheme="minorHAnsi" w:cstheme="minorHAnsi"/>
                <w:i/>
                <w:color w:val="BFBFBF" w:themeColor="background1" w:themeShade="BF"/>
                <w:sz w:val="20"/>
                <w:szCs w:val="20"/>
              </w:rPr>
            </w:pPr>
          </w:p>
        </w:tc>
      </w:tr>
      <w:tr w:rsidR="008725F7" w:rsidRPr="00D753EA" w14:paraId="43ADC696" w14:textId="77777777" w:rsidTr="00A366FC">
        <w:trPr>
          <w:trHeight w:val="340"/>
          <w:tblHeader/>
        </w:trPr>
        <w:tc>
          <w:tcPr>
            <w:tcW w:w="867" w:type="pct"/>
            <w:shd w:val="clear" w:color="auto" w:fill="E2EFD9" w:themeFill="accent6" w:themeFillTint="33"/>
            <w:vAlign w:val="center"/>
          </w:tcPr>
          <w:p w14:paraId="3BC5F3E4" w14:textId="77777777" w:rsidR="008725F7" w:rsidRPr="00D753EA" w:rsidRDefault="008725F7" w:rsidP="00A366FC">
            <w:pPr>
              <w:spacing w:before="120" w:after="120" w:line="276" w:lineRule="auto"/>
              <w:rPr>
                <w:rFonts w:asciiTheme="minorHAnsi" w:eastAsia="Times New Roman" w:hAnsiTheme="minorHAnsi" w:cstheme="minorHAnsi"/>
                <w:b/>
                <w:color w:val="FF3300"/>
                <w:sz w:val="20"/>
                <w:szCs w:val="20"/>
              </w:rPr>
            </w:pPr>
            <w:r w:rsidRPr="00D753EA">
              <w:rPr>
                <w:rFonts w:asciiTheme="minorHAnsi" w:eastAsia="Times New Roman" w:hAnsiTheme="minorHAnsi" w:cstheme="minorHAnsi"/>
                <w:b/>
                <w:color w:val="FF3300"/>
                <w:sz w:val="20"/>
                <w:szCs w:val="20"/>
              </w:rPr>
              <w:t>Subject</w:t>
            </w:r>
          </w:p>
        </w:tc>
        <w:tc>
          <w:tcPr>
            <w:tcW w:w="1445" w:type="pct"/>
            <w:shd w:val="clear" w:color="auto" w:fill="auto"/>
            <w:vAlign w:val="center"/>
          </w:tcPr>
          <w:p w14:paraId="342A3736" w14:textId="77777777" w:rsidR="008725F7" w:rsidRPr="00D753EA" w:rsidRDefault="008725F7" w:rsidP="00A366FC">
            <w:pPr>
              <w:spacing w:before="120" w:after="120" w:line="276" w:lineRule="auto"/>
              <w:rPr>
                <w:rFonts w:asciiTheme="minorHAnsi" w:eastAsia="Times New Roman" w:hAnsiTheme="minorHAnsi" w:cstheme="minorHAnsi"/>
                <w:i/>
                <w:color w:val="BFBFBF" w:themeColor="background1" w:themeShade="BF"/>
                <w:sz w:val="20"/>
                <w:szCs w:val="20"/>
              </w:rPr>
            </w:pPr>
          </w:p>
        </w:tc>
        <w:tc>
          <w:tcPr>
            <w:tcW w:w="863" w:type="pct"/>
            <w:shd w:val="clear" w:color="auto" w:fill="E2EFD9" w:themeFill="accent6" w:themeFillTint="33"/>
            <w:vAlign w:val="center"/>
          </w:tcPr>
          <w:p w14:paraId="5294F419" w14:textId="77777777" w:rsidR="008725F7" w:rsidRPr="00D753EA" w:rsidRDefault="008725F7" w:rsidP="00A366FC">
            <w:pPr>
              <w:spacing w:before="120" w:after="120" w:line="276" w:lineRule="auto"/>
              <w:rPr>
                <w:rFonts w:asciiTheme="minorHAnsi" w:eastAsia="Times New Roman" w:hAnsiTheme="minorHAnsi" w:cstheme="minorHAnsi"/>
                <w:b/>
                <w:color w:val="FF3300"/>
                <w:sz w:val="20"/>
                <w:szCs w:val="20"/>
              </w:rPr>
            </w:pPr>
            <w:r w:rsidRPr="00D753EA">
              <w:rPr>
                <w:rFonts w:asciiTheme="minorHAnsi" w:eastAsia="Times New Roman" w:hAnsiTheme="minorHAnsi" w:cstheme="minorHAnsi"/>
                <w:b/>
                <w:color w:val="FF3300"/>
                <w:sz w:val="20"/>
                <w:szCs w:val="20"/>
              </w:rPr>
              <w:t>Exam paper title</w:t>
            </w:r>
          </w:p>
        </w:tc>
        <w:tc>
          <w:tcPr>
            <w:tcW w:w="1825" w:type="pct"/>
            <w:shd w:val="clear" w:color="auto" w:fill="auto"/>
            <w:vAlign w:val="center"/>
          </w:tcPr>
          <w:p w14:paraId="376548FC" w14:textId="77777777" w:rsidR="008725F7" w:rsidRPr="00D753EA" w:rsidRDefault="008725F7" w:rsidP="00A366FC">
            <w:pPr>
              <w:spacing w:before="120" w:after="120" w:line="276" w:lineRule="auto"/>
              <w:rPr>
                <w:rFonts w:asciiTheme="minorHAnsi" w:eastAsia="Times New Roman" w:hAnsiTheme="minorHAnsi" w:cstheme="minorHAnsi"/>
                <w:sz w:val="20"/>
                <w:szCs w:val="20"/>
              </w:rPr>
            </w:pPr>
          </w:p>
        </w:tc>
      </w:tr>
      <w:tr w:rsidR="008725F7" w:rsidRPr="00D753EA" w14:paraId="56FEF23C" w14:textId="77777777" w:rsidTr="00A366FC">
        <w:trPr>
          <w:trHeight w:val="110"/>
          <w:tblHeader/>
        </w:trPr>
        <w:tc>
          <w:tcPr>
            <w:tcW w:w="5000" w:type="pct"/>
            <w:gridSpan w:val="4"/>
            <w:shd w:val="clear" w:color="auto" w:fill="auto"/>
          </w:tcPr>
          <w:p w14:paraId="7CA83690" w14:textId="77777777" w:rsidR="008725F7" w:rsidRPr="00D753EA" w:rsidRDefault="008725F7" w:rsidP="00A366FC">
            <w:pPr>
              <w:spacing w:before="120" w:after="120" w:line="276" w:lineRule="auto"/>
              <w:jc w:val="both"/>
              <w:rPr>
                <w:rFonts w:asciiTheme="minorHAnsi" w:eastAsia="Times New Roman" w:hAnsiTheme="minorHAnsi" w:cstheme="minorHAnsi"/>
                <w:b/>
                <w:sz w:val="20"/>
                <w:szCs w:val="20"/>
              </w:rPr>
            </w:pPr>
            <w:r w:rsidRPr="00D753EA">
              <w:rPr>
                <w:rFonts w:asciiTheme="minorHAnsi" w:eastAsia="Times New Roman" w:hAnsiTheme="minorHAnsi" w:cstheme="minorHAnsi"/>
                <w:b/>
                <w:sz w:val="20"/>
                <w:szCs w:val="20"/>
              </w:rPr>
              <w:t>Please state the grounds for your appeal below</w:t>
            </w:r>
          </w:p>
          <w:p w14:paraId="5C423CDA" w14:textId="77777777" w:rsidR="008725F7" w:rsidRPr="00D753EA" w:rsidRDefault="008725F7" w:rsidP="00A366FC">
            <w:pPr>
              <w:spacing w:before="120" w:after="120" w:line="276" w:lineRule="auto"/>
              <w:jc w:val="both"/>
              <w:rPr>
                <w:rFonts w:asciiTheme="minorHAnsi" w:eastAsia="Times New Roman" w:hAnsiTheme="minorHAnsi" w:cstheme="minorHAnsi"/>
                <w:sz w:val="20"/>
                <w:szCs w:val="20"/>
              </w:rPr>
            </w:pPr>
          </w:p>
          <w:p w14:paraId="742571DA" w14:textId="77777777" w:rsidR="008725F7" w:rsidRPr="00D753EA" w:rsidRDefault="008725F7" w:rsidP="00A366FC">
            <w:pPr>
              <w:spacing w:before="120" w:after="120" w:line="276" w:lineRule="auto"/>
              <w:jc w:val="both"/>
              <w:rPr>
                <w:rFonts w:asciiTheme="minorHAnsi" w:eastAsia="Times New Roman" w:hAnsiTheme="minorHAnsi" w:cstheme="minorHAnsi"/>
                <w:sz w:val="20"/>
                <w:szCs w:val="20"/>
              </w:rPr>
            </w:pPr>
          </w:p>
          <w:p w14:paraId="5B8D9F4C" w14:textId="77777777" w:rsidR="008725F7" w:rsidRPr="00D753EA" w:rsidRDefault="008725F7" w:rsidP="00A366FC">
            <w:pPr>
              <w:spacing w:before="120" w:after="120" w:line="276" w:lineRule="auto"/>
              <w:jc w:val="both"/>
              <w:rPr>
                <w:rFonts w:asciiTheme="minorHAnsi" w:eastAsia="Times New Roman" w:hAnsiTheme="minorHAnsi" w:cstheme="minorHAnsi"/>
                <w:sz w:val="20"/>
                <w:szCs w:val="20"/>
              </w:rPr>
            </w:pPr>
          </w:p>
          <w:p w14:paraId="6324FE0D" w14:textId="77777777" w:rsidR="008725F7" w:rsidRPr="00D753EA" w:rsidRDefault="008725F7" w:rsidP="00A366FC">
            <w:pPr>
              <w:spacing w:before="120" w:after="120" w:line="276" w:lineRule="auto"/>
              <w:jc w:val="both"/>
              <w:rPr>
                <w:rFonts w:asciiTheme="minorHAnsi" w:eastAsia="Times New Roman" w:hAnsiTheme="minorHAnsi" w:cstheme="minorHAnsi"/>
                <w:sz w:val="20"/>
                <w:szCs w:val="20"/>
              </w:rPr>
            </w:pPr>
          </w:p>
          <w:p w14:paraId="1D331197" w14:textId="77777777" w:rsidR="008725F7" w:rsidRPr="00D753EA" w:rsidRDefault="008725F7" w:rsidP="00A366FC">
            <w:pPr>
              <w:spacing w:before="120" w:after="120" w:line="276" w:lineRule="auto"/>
              <w:jc w:val="both"/>
              <w:rPr>
                <w:rFonts w:asciiTheme="minorHAnsi" w:eastAsia="Times New Roman" w:hAnsiTheme="minorHAnsi" w:cstheme="minorHAnsi"/>
                <w:sz w:val="20"/>
                <w:szCs w:val="20"/>
              </w:rPr>
            </w:pPr>
          </w:p>
          <w:p w14:paraId="4B3691AA" w14:textId="77777777" w:rsidR="008725F7" w:rsidRPr="00D753EA" w:rsidRDefault="008725F7" w:rsidP="00A366FC">
            <w:pPr>
              <w:spacing w:before="120" w:after="120" w:line="276" w:lineRule="auto"/>
              <w:jc w:val="both"/>
              <w:rPr>
                <w:rFonts w:asciiTheme="minorHAnsi" w:eastAsia="Times New Roman" w:hAnsiTheme="minorHAnsi" w:cstheme="minorHAnsi"/>
                <w:sz w:val="20"/>
                <w:szCs w:val="20"/>
              </w:rPr>
            </w:pPr>
          </w:p>
          <w:p w14:paraId="077F0F5D" w14:textId="77777777" w:rsidR="008725F7" w:rsidRPr="00D753EA" w:rsidRDefault="008725F7" w:rsidP="00A366FC">
            <w:pPr>
              <w:spacing w:before="120" w:after="120" w:line="276" w:lineRule="auto"/>
              <w:jc w:val="both"/>
              <w:rPr>
                <w:rFonts w:asciiTheme="minorHAnsi" w:eastAsia="Times New Roman" w:hAnsiTheme="minorHAnsi" w:cstheme="minorHAnsi"/>
                <w:sz w:val="20"/>
                <w:szCs w:val="20"/>
              </w:rPr>
            </w:pPr>
          </w:p>
          <w:p w14:paraId="307D05C7" w14:textId="77777777" w:rsidR="008725F7" w:rsidRPr="00D753EA" w:rsidRDefault="008725F7" w:rsidP="00A366FC">
            <w:pPr>
              <w:spacing w:before="120" w:after="120" w:line="276" w:lineRule="auto"/>
              <w:jc w:val="both"/>
              <w:rPr>
                <w:rFonts w:asciiTheme="minorHAnsi" w:eastAsia="Times New Roman" w:hAnsiTheme="minorHAnsi" w:cstheme="minorHAnsi"/>
                <w:sz w:val="20"/>
                <w:szCs w:val="20"/>
              </w:rPr>
            </w:pPr>
          </w:p>
          <w:p w14:paraId="47537677" w14:textId="77777777" w:rsidR="008725F7" w:rsidRPr="00D753EA" w:rsidRDefault="008725F7" w:rsidP="00A366FC">
            <w:pPr>
              <w:spacing w:before="120" w:after="120" w:line="276" w:lineRule="auto"/>
              <w:jc w:val="both"/>
              <w:rPr>
                <w:rFonts w:asciiTheme="minorHAnsi" w:eastAsia="Times New Roman" w:hAnsiTheme="minorHAnsi" w:cstheme="minorHAnsi"/>
                <w:sz w:val="20"/>
                <w:szCs w:val="20"/>
              </w:rPr>
            </w:pPr>
          </w:p>
          <w:p w14:paraId="67F47E88" w14:textId="77777777" w:rsidR="008725F7" w:rsidRPr="00D753EA" w:rsidRDefault="008725F7" w:rsidP="00A366FC">
            <w:pPr>
              <w:spacing w:before="120" w:after="120" w:line="276" w:lineRule="auto"/>
              <w:jc w:val="both"/>
              <w:rPr>
                <w:rFonts w:asciiTheme="minorHAnsi" w:eastAsia="Times New Roman" w:hAnsiTheme="minorHAnsi" w:cstheme="minorHAnsi"/>
                <w:sz w:val="20"/>
                <w:szCs w:val="20"/>
              </w:rPr>
            </w:pPr>
          </w:p>
          <w:p w14:paraId="29A7164D" w14:textId="77777777" w:rsidR="008725F7" w:rsidRPr="00D753EA" w:rsidRDefault="008725F7" w:rsidP="00A366FC">
            <w:pPr>
              <w:spacing w:before="120" w:after="120" w:line="276" w:lineRule="auto"/>
              <w:jc w:val="both"/>
              <w:rPr>
                <w:rFonts w:asciiTheme="minorHAnsi" w:eastAsia="Times New Roman" w:hAnsiTheme="minorHAnsi" w:cstheme="minorHAnsi"/>
                <w:sz w:val="20"/>
                <w:szCs w:val="20"/>
              </w:rPr>
            </w:pPr>
          </w:p>
          <w:p w14:paraId="233C67C8" w14:textId="77777777" w:rsidR="000C7F2D" w:rsidRPr="00D753EA" w:rsidRDefault="000C7F2D" w:rsidP="00A366FC">
            <w:pPr>
              <w:spacing w:before="120" w:after="120" w:line="276" w:lineRule="auto"/>
              <w:jc w:val="both"/>
              <w:rPr>
                <w:rFonts w:asciiTheme="minorHAnsi" w:eastAsia="Times New Roman" w:hAnsiTheme="minorHAnsi" w:cstheme="minorHAnsi"/>
                <w:sz w:val="20"/>
                <w:szCs w:val="20"/>
              </w:rPr>
            </w:pPr>
          </w:p>
          <w:p w14:paraId="491912D2" w14:textId="77777777" w:rsidR="008725F7" w:rsidRPr="00D753EA" w:rsidRDefault="008725F7" w:rsidP="00A366FC">
            <w:pPr>
              <w:spacing w:before="120" w:after="120" w:line="276" w:lineRule="auto"/>
              <w:jc w:val="both"/>
              <w:rPr>
                <w:rFonts w:asciiTheme="minorHAnsi" w:eastAsia="Times New Roman" w:hAnsiTheme="minorHAnsi" w:cstheme="minorHAnsi"/>
                <w:sz w:val="20"/>
                <w:szCs w:val="20"/>
              </w:rPr>
            </w:pPr>
          </w:p>
          <w:p w14:paraId="61F3D109" w14:textId="77777777" w:rsidR="008725F7" w:rsidRPr="00D753EA" w:rsidRDefault="008725F7" w:rsidP="00A366FC">
            <w:pPr>
              <w:spacing w:before="120" w:after="0" w:line="276" w:lineRule="auto"/>
              <w:rPr>
                <w:rFonts w:asciiTheme="minorHAnsi" w:hAnsiTheme="minorHAnsi" w:cstheme="minorHAnsi"/>
                <w:i/>
                <w:sz w:val="18"/>
                <w:szCs w:val="18"/>
              </w:rPr>
            </w:pPr>
            <w:r w:rsidRPr="00D753EA">
              <w:rPr>
                <w:rFonts w:asciiTheme="minorHAnsi" w:hAnsiTheme="minorHAnsi" w:cstheme="minorHAnsi"/>
                <w:i/>
                <w:sz w:val="18"/>
                <w:szCs w:val="18"/>
              </w:rPr>
              <w:t xml:space="preserve"> (If applicable, tick below)</w:t>
            </w:r>
          </w:p>
          <w:p w14:paraId="61A742CC" w14:textId="532236E8" w:rsidR="008725F7" w:rsidRPr="00D753EA" w:rsidRDefault="008725F7" w:rsidP="008725F7">
            <w:pPr>
              <w:pStyle w:val="ListParagraph"/>
              <w:numPr>
                <w:ilvl w:val="0"/>
                <w:numId w:val="12"/>
              </w:numPr>
              <w:spacing w:before="120" w:after="120" w:line="276" w:lineRule="auto"/>
              <w:ind w:left="426" w:hanging="426"/>
              <w:rPr>
                <w:rFonts w:asciiTheme="minorHAnsi" w:hAnsiTheme="minorHAnsi" w:cstheme="minorHAnsi"/>
              </w:rPr>
            </w:pPr>
            <w:r w:rsidRPr="00D753EA">
              <w:rPr>
                <w:rFonts w:asciiTheme="minorHAnsi" w:hAnsiTheme="minorHAnsi" w:cstheme="minorHAnsi"/>
                <w:sz w:val="18"/>
                <w:szCs w:val="18"/>
              </w:rPr>
              <w:t xml:space="preserve">Where my appeal is against an internal assessment </w:t>
            </w:r>
            <w:r w:rsidR="00547DCA" w:rsidRPr="00D753EA">
              <w:rPr>
                <w:rFonts w:asciiTheme="minorHAnsi" w:hAnsiTheme="minorHAnsi" w:cstheme="minorHAnsi"/>
                <w:sz w:val="18"/>
                <w:szCs w:val="18"/>
              </w:rPr>
              <w:t>decision,</w:t>
            </w:r>
            <w:r w:rsidRPr="00D753EA">
              <w:rPr>
                <w:rFonts w:asciiTheme="minorHAnsi" w:hAnsiTheme="minorHAnsi" w:cstheme="minorHAnsi"/>
                <w:sz w:val="18"/>
                <w:szCs w:val="18"/>
              </w:rPr>
              <w:t xml:space="preserve"> I wish to request a review of the centre’s marking </w:t>
            </w:r>
          </w:p>
          <w:p w14:paraId="68BA87F7" w14:textId="77777777" w:rsidR="008725F7" w:rsidRPr="00D753EA" w:rsidRDefault="008725F7" w:rsidP="00A366FC">
            <w:pPr>
              <w:spacing w:before="120" w:after="60" w:line="276" w:lineRule="auto"/>
              <w:jc w:val="right"/>
              <w:rPr>
                <w:rFonts w:asciiTheme="minorHAnsi" w:eastAsia="Times New Roman" w:hAnsiTheme="minorHAnsi" w:cstheme="minorHAnsi"/>
                <w:i/>
                <w:sz w:val="16"/>
                <w:szCs w:val="16"/>
              </w:rPr>
            </w:pPr>
            <w:r w:rsidRPr="00D753EA">
              <w:rPr>
                <w:rFonts w:asciiTheme="minorHAnsi" w:eastAsia="Times New Roman" w:hAnsiTheme="minorHAnsi" w:cstheme="minorHAnsi"/>
                <w:i/>
                <w:sz w:val="16"/>
                <w:szCs w:val="16"/>
              </w:rPr>
              <w:t>If necessary, continue on an additional page if this form is being completed electronically or overleaf if hard copy being completed</w:t>
            </w:r>
          </w:p>
        </w:tc>
      </w:tr>
      <w:tr w:rsidR="008725F7" w:rsidRPr="00D753EA" w14:paraId="46164D67" w14:textId="77777777" w:rsidTr="00A366FC">
        <w:trPr>
          <w:tblHeader/>
        </w:trPr>
        <w:tc>
          <w:tcPr>
            <w:tcW w:w="5000" w:type="pct"/>
            <w:gridSpan w:val="4"/>
            <w:shd w:val="clear" w:color="auto" w:fill="auto"/>
          </w:tcPr>
          <w:p w14:paraId="0D9FCA08" w14:textId="77777777" w:rsidR="008725F7" w:rsidRPr="00D753EA" w:rsidRDefault="008725F7" w:rsidP="00A366FC">
            <w:pPr>
              <w:pStyle w:val="Headinglevel1"/>
              <w:spacing w:before="120" w:after="120" w:line="276" w:lineRule="auto"/>
              <w:rPr>
                <w:rFonts w:asciiTheme="minorHAnsi" w:hAnsiTheme="minorHAnsi" w:cstheme="minorHAnsi"/>
                <w:b w:val="0"/>
                <w:color w:val="auto"/>
                <w:sz w:val="22"/>
                <w:szCs w:val="22"/>
              </w:rPr>
            </w:pPr>
            <w:r w:rsidRPr="00D753EA">
              <w:rPr>
                <w:rFonts w:asciiTheme="minorHAnsi" w:hAnsiTheme="minorHAnsi" w:cstheme="minorHAnsi"/>
                <w:b w:val="0"/>
                <w:color w:val="auto"/>
                <w:sz w:val="22"/>
                <w:szCs w:val="22"/>
              </w:rPr>
              <w:t>Appellant signature:                                                                  Date of signature:</w:t>
            </w:r>
          </w:p>
        </w:tc>
      </w:tr>
    </w:tbl>
    <w:p w14:paraId="6DCF70BE" w14:textId="77777777" w:rsidR="000C7FFE" w:rsidRDefault="000C7FFE" w:rsidP="002F238F"/>
    <w:sectPr w:rsidR="000C7F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5D64" w14:textId="77777777" w:rsidR="00C71EE0" w:rsidRDefault="00C71EE0" w:rsidP="00C2076A">
      <w:pPr>
        <w:spacing w:after="0"/>
      </w:pPr>
      <w:r>
        <w:separator/>
      </w:r>
    </w:p>
  </w:endnote>
  <w:endnote w:type="continuationSeparator" w:id="0">
    <w:p w14:paraId="4FEE084E" w14:textId="77777777" w:rsidR="00C71EE0" w:rsidRDefault="00C71EE0" w:rsidP="00C20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A12A" w14:textId="77777777" w:rsidR="00C71EE0" w:rsidRDefault="00C71EE0" w:rsidP="00C2076A">
      <w:pPr>
        <w:spacing w:after="0"/>
      </w:pPr>
      <w:r>
        <w:separator/>
      </w:r>
    </w:p>
  </w:footnote>
  <w:footnote w:type="continuationSeparator" w:id="0">
    <w:p w14:paraId="6F699F93" w14:textId="77777777" w:rsidR="00C71EE0" w:rsidRDefault="00C71EE0" w:rsidP="00C207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EDDE" w14:textId="77777777" w:rsidR="00234AEC" w:rsidRDefault="00B27E37">
    <w:pPr>
      <w:pStyle w:val="Header"/>
      <w:rPr>
        <w:noProof/>
      </w:rPr>
    </w:pPr>
    <w:r>
      <w:rPr>
        <w:noProof/>
      </w:rPr>
      <w:drawing>
        <wp:anchor distT="0" distB="0" distL="114300" distR="114300" simplePos="0" relativeHeight="251659264" behindDoc="0" locked="0" layoutInCell="1" allowOverlap="1" wp14:anchorId="5953EDE6" wp14:editId="5953EDE7">
          <wp:simplePos x="0" y="0"/>
          <wp:positionH relativeFrom="page">
            <wp:align>left</wp:align>
          </wp:positionH>
          <wp:positionV relativeFrom="paragraph">
            <wp:posOffset>-451485</wp:posOffset>
          </wp:positionV>
          <wp:extent cx="2991485" cy="914400"/>
          <wp:effectExtent l="0" t="0" r="0" b="0"/>
          <wp:wrapNone/>
          <wp:docPr id="1" name="Picture 1" descr="logo - top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top graphic"/>
                  <pic:cNvPicPr>
                    <a:picLocks noChangeAspect="1" noChangeArrowheads="1"/>
                  </pic:cNvPicPr>
                </pic:nvPicPr>
                <pic:blipFill rotWithShape="1">
                  <a:blip r:embed="rId1">
                    <a:extLst>
                      <a:ext uri="{28A0092B-C50C-407E-A947-70E740481C1C}">
                        <a14:useLocalDpi xmlns:a14="http://schemas.microsoft.com/office/drawing/2010/main" val="0"/>
                      </a:ext>
                    </a:extLst>
                  </a:blip>
                  <a:srcRect t="14179" r="60444" b="14179"/>
                  <a:stretch/>
                </pic:blipFill>
                <pic:spPr bwMode="auto">
                  <a:xfrm>
                    <a:off x="0" y="0"/>
                    <a:ext cx="2991556"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53EDDF" w14:textId="77777777" w:rsidR="00D217A7" w:rsidRDefault="00D217A7">
    <w:pPr>
      <w:pStyle w:val="Header"/>
      <w:rPr>
        <w:noProof/>
      </w:rPr>
    </w:pPr>
  </w:p>
  <w:p w14:paraId="5953EDE0" w14:textId="77777777" w:rsidR="00D217A7" w:rsidRDefault="00D217A7">
    <w:pPr>
      <w:pStyle w:val="Header"/>
      <w:rPr>
        <w:noProof/>
      </w:rPr>
    </w:pPr>
  </w:p>
  <w:p w14:paraId="5953EDE1" w14:textId="77777777" w:rsidR="00C2076A" w:rsidRDefault="00C20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6C4"/>
    <w:multiLevelType w:val="hybridMultilevel"/>
    <w:tmpl w:val="99027C4C"/>
    <w:lvl w:ilvl="0" w:tplc="020E2E7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1489B"/>
    <w:multiLevelType w:val="hybridMultilevel"/>
    <w:tmpl w:val="7134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B4F5C"/>
    <w:multiLevelType w:val="hybridMultilevel"/>
    <w:tmpl w:val="E732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91E70"/>
    <w:multiLevelType w:val="hybridMultilevel"/>
    <w:tmpl w:val="DC80BB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B58FD"/>
    <w:multiLevelType w:val="hybridMultilevel"/>
    <w:tmpl w:val="D8467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2F1D2A"/>
    <w:multiLevelType w:val="hybridMultilevel"/>
    <w:tmpl w:val="0710395A"/>
    <w:lvl w:ilvl="0" w:tplc="53EE54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CE74B5"/>
    <w:multiLevelType w:val="hybridMultilevel"/>
    <w:tmpl w:val="1E90EF96"/>
    <w:lvl w:ilvl="0" w:tplc="53EE54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C15B99"/>
    <w:multiLevelType w:val="hybridMultilevel"/>
    <w:tmpl w:val="A6C0C72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D2789"/>
    <w:multiLevelType w:val="hybridMultilevel"/>
    <w:tmpl w:val="4BAEDC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9"/>
  </w:num>
  <w:num w:numId="6">
    <w:abstractNumId w:val="11"/>
  </w:num>
  <w:num w:numId="7">
    <w:abstractNumId w:val="7"/>
  </w:num>
  <w:num w:numId="8">
    <w:abstractNumId w:val="2"/>
  </w:num>
  <w:num w:numId="9">
    <w:abstractNumId w:val="1"/>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6A"/>
    <w:rsid w:val="00002D5D"/>
    <w:rsid w:val="00007ADC"/>
    <w:rsid w:val="00010289"/>
    <w:rsid w:val="00021AA5"/>
    <w:rsid w:val="00047834"/>
    <w:rsid w:val="000A3D7B"/>
    <w:rsid w:val="000C2285"/>
    <w:rsid w:val="000C7F2D"/>
    <w:rsid w:val="000C7FFE"/>
    <w:rsid w:val="00195627"/>
    <w:rsid w:val="001F52D8"/>
    <w:rsid w:val="002209BC"/>
    <w:rsid w:val="00234AEC"/>
    <w:rsid w:val="002E298D"/>
    <w:rsid w:val="002E653D"/>
    <w:rsid w:val="002F238F"/>
    <w:rsid w:val="00336FC1"/>
    <w:rsid w:val="003C352F"/>
    <w:rsid w:val="0040161A"/>
    <w:rsid w:val="00404589"/>
    <w:rsid w:val="00470151"/>
    <w:rsid w:val="004C6FF5"/>
    <w:rsid w:val="005272F0"/>
    <w:rsid w:val="00547DCA"/>
    <w:rsid w:val="00566EE5"/>
    <w:rsid w:val="005C60DA"/>
    <w:rsid w:val="005E3394"/>
    <w:rsid w:val="00607D02"/>
    <w:rsid w:val="006E244D"/>
    <w:rsid w:val="00816455"/>
    <w:rsid w:val="008725F7"/>
    <w:rsid w:val="008A45CB"/>
    <w:rsid w:val="009018CA"/>
    <w:rsid w:val="00907BE5"/>
    <w:rsid w:val="00927F39"/>
    <w:rsid w:val="00AB788F"/>
    <w:rsid w:val="00AE6902"/>
    <w:rsid w:val="00AF73A9"/>
    <w:rsid w:val="00B04812"/>
    <w:rsid w:val="00B27E37"/>
    <w:rsid w:val="00B84A30"/>
    <w:rsid w:val="00BA4FDB"/>
    <w:rsid w:val="00BD28B7"/>
    <w:rsid w:val="00C04F89"/>
    <w:rsid w:val="00C2076A"/>
    <w:rsid w:val="00C71EE0"/>
    <w:rsid w:val="00D217A7"/>
    <w:rsid w:val="00D43A13"/>
    <w:rsid w:val="00E12543"/>
    <w:rsid w:val="00E31839"/>
    <w:rsid w:val="00E357AC"/>
    <w:rsid w:val="00E8680A"/>
    <w:rsid w:val="00E97223"/>
    <w:rsid w:val="00ED1109"/>
    <w:rsid w:val="00F531CE"/>
    <w:rsid w:val="00F9628E"/>
    <w:rsid w:val="00FD7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3EDD5"/>
  <w15:chartTrackingRefBased/>
  <w15:docId w15:val="{5F9CF2AE-108E-4446-9456-48DEC011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2D8"/>
    <w:pPr>
      <w:spacing w:after="80" w:line="240" w:lineRule="auto"/>
    </w:pPr>
    <w:rPr>
      <w:rFonts w:ascii="Arial" w:eastAsiaTheme="minorEastAsia" w:hAnsi="Arial"/>
      <w:lang w:eastAsia="en-GB"/>
    </w:rPr>
  </w:style>
  <w:style w:type="paragraph" w:styleId="Heading1">
    <w:name w:val="heading 1"/>
    <w:basedOn w:val="Normal"/>
    <w:link w:val="Heading1Char"/>
    <w:uiPriority w:val="9"/>
    <w:qFormat/>
    <w:rsid w:val="00607D02"/>
    <w:pPr>
      <w:keepNext/>
      <w:spacing w:before="240" w:after="0" w:line="252"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76A"/>
    <w:pPr>
      <w:tabs>
        <w:tab w:val="center" w:pos="4513"/>
        <w:tab w:val="right" w:pos="9026"/>
      </w:tabs>
      <w:spacing w:after="0"/>
    </w:pPr>
  </w:style>
  <w:style w:type="character" w:customStyle="1" w:styleId="HeaderChar">
    <w:name w:val="Header Char"/>
    <w:basedOn w:val="DefaultParagraphFont"/>
    <w:link w:val="Header"/>
    <w:uiPriority w:val="99"/>
    <w:rsid w:val="00C2076A"/>
  </w:style>
  <w:style w:type="paragraph" w:styleId="Footer">
    <w:name w:val="footer"/>
    <w:basedOn w:val="Normal"/>
    <w:link w:val="FooterChar"/>
    <w:uiPriority w:val="99"/>
    <w:unhideWhenUsed/>
    <w:rsid w:val="00C2076A"/>
    <w:pPr>
      <w:tabs>
        <w:tab w:val="center" w:pos="4513"/>
        <w:tab w:val="right" w:pos="9026"/>
      </w:tabs>
      <w:spacing w:after="0"/>
    </w:pPr>
  </w:style>
  <w:style w:type="character" w:customStyle="1" w:styleId="FooterChar">
    <w:name w:val="Footer Char"/>
    <w:basedOn w:val="DefaultParagraphFont"/>
    <w:link w:val="Footer"/>
    <w:uiPriority w:val="99"/>
    <w:rsid w:val="00C2076A"/>
  </w:style>
  <w:style w:type="character" w:styleId="Hyperlink">
    <w:name w:val="Hyperlink"/>
    <w:basedOn w:val="DefaultParagraphFont"/>
    <w:uiPriority w:val="99"/>
    <w:unhideWhenUsed/>
    <w:rsid w:val="00021AA5"/>
    <w:rPr>
      <w:color w:val="0000FF"/>
      <w:u w:val="single"/>
    </w:rPr>
  </w:style>
  <w:style w:type="character" w:customStyle="1" w:styleId="UnresolvedMention1">
    <w:name w:val="Unresolved Mention1"/>
    <w:basedOn w:val="DefaultParagraphFont"/>
    <w:uiPriority w:val="99"/>
    <w:semiHidden/>
    <w:unhideWhenUsed/>
    <w:rsid w:val="00816455"/>
    <w:rPr>
      <w:color w:val="605E5C"/>
      <w:shd w:val="clear" w:color="auto" w:fill="E1DFDD"/>
    </w:rPr>
  </w:style>
  <w:style w:type="character" w:customStyle="1" w:styleId="Heading1Char">
    <w:name w:val="Heading 1 Char"/>
    <w:basedOn w:val="DefaultParagraphFont"/>
    <w:link w:val="Heading1"/>
    <w:uiPriority w:val="9"/>
    <w:rsid w:val="00607D02"/>
    <w:rPr>
      <w:rFonts w:ascii="Calibri Light" w:hAnsi="Calibri Light" w:cs="Calibri Light"/>
      <w:color w:val="2F5496"/>
      <w:kern w:val="36"/>
      <w:sz w:val="32"/>
      <w:szCs w:val="32"/>
    </w:rPr>
  </w:style>
  <w:style w:type="character" w:styleId="FollowedHyperlink">
    <w:name w:val="FollowedHyperlink"/>
    <w:basedOn w:val="DefaultParagraphFont"/>
    <w:uiPriority w:val="99"/>
    <w:semiHidden/>
    <w:unhideWhenUsed/>
    <w:rsid w:val="00607D02"/>
    <w:rPr>
      <w:color w:val="954F72" w:themeColor="followedHyperlink"/>
      <w:u w:val="single"/>
    </w:rPr>
  </w:style>
  <w:style w:type="paragraph" w:styleId="ListParagraph">
    <w:name w:val="List Paragraph"/>
    <w:basedOn w:val="Normal"/>
    <w:uiPriority w:val="34"/>
    <w:qFormat/>
    <w:rsid w:val="00ED1109"/>
    <w:pPr>
      <w:spacing w:after="0"/>
      <w:ind w:left="720"/>
      <w:contextualSpacing/>
    </w:pPr>
    <w:rPr>
      <w:rFonts w:eastAsia="Times New Roman" w:cs="Arial"/>
      <w:sz w:val="24"/>
      <w:szCs w:val="24"/>
    </w:rPr>
  </w:style>
  <w:style w:type="character" w:customStyle="1" w:styleId="UnresolvedMention2">
    <w:name w:val="Unresolved Mention2"/>
    <w:basedOn w:val="DefaultParagraphFont"/>
    <w:uiPriority w:val="99"/>
    <w:semiHidden/>
    <w:unhideWhenUsed/>
    <w:rsid w:val="005C60DA"/>
    <w:rPr>
      <w:color w:val="605E5C"/>
      <w:shd w:val="clear" w:color="auto" w:fill="E1DFDD"/>
    </w:rPr>
  </w:style>
  <w:style w:type="paragraph" w:styleId="PlainText">
    <w:name w:val="Plain Text"/>
    <w:basedOn w:val="Normal"/>
    <w:link w:val="PlainTextChar"/>
    <w:uiPriority w:val="99"/>
    <w:semiHidden/>
    <w:unhideWhenUsed/>
    <w:rsid w:val="00002D5D"/>
    <w:pPr>
      <w:spacing w:after="0"/>
    </w:pPr>
    <w:rPr>
      <w:rFonts w:ascii="Calibri" w:hAnsi="Calibri"/>
      <w:szCs w:val="21"/>
    </w:rPr>
  </w:style>
  <w:style w:type="character" w:customStyle="1" w:styleId="PlainTextChar">
    <w:name w:val="Plain Text Char"/>
    <w:basedOn w:val="DefaultParagraphFont"/>
    <w:link w:val="PlainText"/>
    <w:uiPriority w:val="99"/>
    <w:semiHidden/>
    <w:rsid w:val="00002D5D"/>
    <w:rPr>
      <w:rFonts w:ascii="Calibri" w:hAnsi="Calibri"/>
      <w:szCs w:val="21"/>
    </w:rPr>
  </w:style>
  <w:style w:type="paragraph" w:customStyle="1" w:styleId="Default">
    <w:name w:val="Default"/>
    <w:rsid w:val="001F52D8"/>
    <w:pPr>
      <w:autoSpaceDE w:val="0"/>
      <w:autoSpaceDN w:val="0"/>
      <w:adjustRightInd w:val="0"/>
      <w:spacing w:after="0" w:line="240" w:lineRule="auto"/>
    </w:pPr>
    <w:rPr>
      <w:rFonts w:ascii="Tahoma" w:hAnsi="Tahoma" w:cs="Tahoma"/>
      <w:color w:val="000000"/>
      <w:sz w:val="24"/>
      <w:szCs w:val="24"/>
    </w:rPr>
  </w:style>
  <w:style w:type="paragraph" w:customStyle="1" w:styleId="Headinglevel1">
    <w:name w:val="Heading level 1"/>
    <w:basedOn w:val="Normal"/>
    <w:qFormat/>
    <w:rsid w:val="008725F7"/>
    <w:pPr>
      <w:spacing w:after="240"/>
      <w:outlineLvl w:val="0"/>
    </w:pPr>
    <w:rPr>
      <w:rFonts w:eastAsia="Times New Roman" w:cs="Times New Roman"/>
      <w:b/>
      <w:color w:val="003399"/>
      <w:sz w:val="28"/>
      <w:szCs w:val="28"/>
    </w:rPr>
  </w:style>
  <w:style w:type="table" w:styleId="TableGrid">
    <w:name w:val="Table Grid"/>
    <w:basedOn w:val="TableNormal"/>
    <w:uiPriority w:val="59"/>
    <w:rsid w:val="008725F7"/>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15707">
      <w:bodyDiv w:val="1"/>
      <w:marLeft w:val="0"/>
      <w:marRight w:val="0"/>
      <w:marTop w:val="0"/>
      <w:marBottom w:val="0"/>
      <w:divBdr>
        <w:top w:val="none" w:sz="0" w:space="0" w:color="auto"/>
        <w:left w:val="none" w:sz="0" w:space="0" w:color="auto"/>
        <w:bottom w:val="none" w:sz="0" w:space="0" w:color="auto"/>
        <w:right w:val="none" w:sz="0" w:space="0" w:color="auto"/>
      </w:divBdr>
    </w:div>
    <w:div w:id="826240736">
      <w:bodyDiv w:val="1"/>
      <w:marLeft w:val="0"/>
      <w:marRight w:val="0"/>
      <w:marTop w:val="0"/>
      <w:marBottom w:val="0"/>
      <w:divBdr>
        <w:top w:val="none" w:sz="0" w:space="0" w:color="auto"/>
        <w:left w:val="none" w:sz="0" w:space="0" w:color="auto"/>
        <w:bottom w:val="none" w:sz="0" w:space="0" w:color="auto"/>
        <w:right w:val="none" w:sz="0" w:space="0" w:color="auto"/>
      </w:divBdr>
    </w:div>
    <w:div w:id="20352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6BF43BF2A1444889AC41BC5D0F563" ma:contentTypeVersion="6" ma:contentTypeDescription="Create a new document." ma:contentTypeScope="" ma:versionID="821fe4c31f315037ed25620f0f2997cd">
  <xsd:schema xmlns:xsd="http://www.w3.org/2001/XMLSchema" xmlns:xs="http://www.w3.org/2001/XMLSchema" xmlns:p="http://schemas.microsoft.com/office/2006/metadata/properties" xmlns:ns2="f78d8b30-dda2-4b28-a207-8bb7c28dba7b" xmlns:ns3="ff18f149-5ef6-4d87-b16f-ca242d847635" targetNamespace="http://schemas.microsoft.com/office/2006/metadata/properties" ma:root="true" ma:fieldsID="848d97ff68332365bc2d4ec53da3f8c4" ns2:_="" ns3:_="">
    <xsd:import namespace="f78d8b30-dda2-4b28-a207-8bb7c28dba7b"/>
    <xsd:import namespace="ff18f149-5ef6-4d87-b16f-ca242d8476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d8b30-dda2-4b28-a207-8bb7c28db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18f149-5ef6-4d87-b16f-ca242d8476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E3A01-604E-4FE2-AC20-52E03881BB43}"/>
</file>

<file path=customXml/itemProps2.xml><?xml version="1.0" encoding="utf-8"?>
<ds:datastoreItem xmlns:ds="http://schemas.openxmlformats.org/officeDocument/2006/customXml" ds:itemID="{8DDB5D30-EFBC-4406-B155-6702F465CDB6}"/>
</file>

<file path=customXml/itemProps3.xml><?xml version="1.0" encoding="utf-8"?>
<ds:datastoreItem xmlns:ds="http://schemas.openxmlformats.org/officeDocument/2006/customXml" ds:itemID="{6AD1AEF9-A015-4249-8879-0A338A3A8CD3}"/>
</file>

<file path=docProps/app.xml><?xml version="1.0" encoding="utf-8"?>
<Properties xmlns="http://schemas.openxmlformats.org/officeDocument/2006/extended-properties" xmlns:vt="http://schemas.openxmlformats.org/officeDocument/2006/docPropsVTypes">
  <Template>Normal</Template>
  <TotalTime>6</TotalTime>
  <Pages>5</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 Thompson-Ambrose</dc:creator>
  <cp:keywords/>
  <dc:description/>
  <cp:lastModifiedBy>Donna Lewis</cp:lastModifiedBy>
  <cp:revision>7</cp:revision>
  <dcterms:created xsi:type="dcterms:W3CDTF">2022-01-07T11:12:00Z</dcterms:created>
  <dcterms:modified xsi:type="dcterms:W3CDTF">2022-01-07T11:17:00Z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f337b9-6919-4328-9a40-40681b93b4de_Enabled">
    <vt:lpwstr>true</vt:lpwstr>
  </property>
  <property fmtid="{D5CDD505-2E9C-101B-9397-08002B2CF9AE}" pid="3" name="MSIP_Label_baf337b9-6919-4328-9a40-40681b93b4de_SetDate">
    <vt:lpwstr>2021-05-14T10:29:36Z</vt:lpwstr>
  </property>
  <property fmtid="{D5CDD505-2E9C-101B-9397-08002B2CF9AE}" pid="4" name="MSIP_Label_baf337b9-6919-4328-9a40-40681b93b4de_Method">
    <vt:lpwstr>Standard</vt:lpwstr>
  </property>
  <property fmtid="{D5CDD505-2E9C-101B-9397-08002B2CF9AE}" pid="5" name="MSIP_Label_baf337b9-6919-4328-9a40-40681b93b4de_Name">
    <vt:lpwstr>baf337b9-6919-4328-9a40-40681b93b4de</vt:lpwstr>
  </property>
  <property fmtid="{D5CDD505-2E9C-101B-9397-08002B2CF9AE}" pid="6" name="MSIP_Label_baf337b9-6919-4328-9a40-40681b93b4de_SiteId">
    <vt:lpwstr>32a3e669-6983-416d-9e40-784ff50d7812</vt:lpwstr>
  </property>
  <property fmtid="{D5CDD505-2E9C-101B-9397-08002B2CF9AE}" pid="7" name="MSIP_Label_baf337b9-6919-4328-9a40-40681b93b4de_ActionId">
    <vt:lpwstr>7eb680f5-068f-48f6-960a-e2a65a40b8c9</vt:lpwstr>
  </property>
  <property fmtid="{D5CDD505-2E9C-101B-9397-08002B2CF9AE}" pid="8" name="MSIP_Label_baf337b9-6919-4328-9a40-40681b93b4de_ContentBits">
    <vt:lpwstr>0</vt:lpwstr>
  </property>
  <property fmtid="{D5CDD505-2E9C-101B-9397-08002B2CF9AE}" pid="9" name="ContentTypeId">
    <vt:lpwstr>0x0101002C46BF43BF2A1444889AC41BC5D0F563</vt:lpwstr>
  </property>
</Properties>
</file>