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3D55D32" w:rsidP="42B9562B" w:rsidRDefault="13D55D32" w14:paraId="17B01E01" w14:textId="5136CA2E">
      <w:pPr>
        <w:jc w:val="center"/>
        <w:rPr>
          <w:rFonts w:ascii="MrEavesXLSanOT" w:hAnsi="MrEavesXLSanOT"/>
          <w:b w:val="1"/>
          <w:bCs w:val="1"/>
        </w:rPr>
      </w:pPr>
      <w:r w:rsidRPr="5F741BE4" w:rsidR="60AB7424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>The Maynard Parents Association</w:t>
      </w:r>
      <w:r w:rsidRPr="5F741BE4" w:rsidR="019EDD95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5F741BE4" w:rsidR="60AB7424">
        <w:rPr>
          <w:rFonts w:ascii="MrEavesXLSanOT" w:hAnsi="MrEavesXLSanOT"/>
          <w:b w:val="1"/>
          <w:bCs w:val="1"/>
        </w:rPr>
        <w:t>(</w:t>
      </w:r>
      <w:r w:rsidRPr="5F741BE4" w:rsidR="13D55D32">
        <w:rPr>
          <w:rFonts w:ascii="MrEavesXLSanOT" w:hAnsi="MrEavesXLSanOT"/>
          <w:b w:val="1"/>
          <w:bCs w:val="1"/>
        </w:rPr>
        <w:t>MPA</w:t>
      </w:r>
      <w:r w:rsidRPr="5F741BE4" w:rsidR="1A442D73">
        <w:rPr>
          <w:rFonts w:ascii="MrEavesXLSanOT" w:hAnsi="MrEavesXLSanOT"/>
          <w:b w:val="1"/>
          <w:bCs w:val="1"/>
        </w:rPr>
        <w:t>)</w:t>
      </w:r>
    </w:p>
    <w:p xmlns:wp14="http://schemas.microsoft.com/office/word/2010/wordml" w:rsidRPr="00385AF2" w:rsidR="00DA7A30" w:rsidP="42B9562B" w:rsidRDefault="007A5A10" w14:paraId="78BCE2EC" wp14:textId="7209A892">
      <w:pPr>
        <w:jc w:val="center"/>
        <w:rPr>
          <w:rFonts w:ascii="MrEavesXLSanOT" w:hAnsi="MrEavesXLSanOT"/>
          <w:b w:val="1"/>
          <w:bCs w:val="1"/>
        </w:rPr>
      </w:pPr>
      <w:r w:rsidRPr="42B9562B" w:rsidR="007A5A10">
        <w:rPr>
          <w:rFonts w:ascii="MrEavesXLSanOT" w:hAnsi="MrEavesXLSanOT"/>
          <w:b w:val="1"/>
          <w:bCs w:val="1"/>
        </w:rPr>
        <w:t>Safeguarding Policy</w:t>
      </w:r>
    </w:p>
    <w:p w:rsidR="64AC8973" w:rsidP="4B50D263" w:rsidRDefault="64AC8973" w14:paraId="01FD335E" w14:textId="66FC6B8B">
      <w:pPr>
        <w:jc w:val="center"/>
        <w:rPr>
          <w:rFonts w:ascii="MrEavesXLSanOT" w:hAnsi="MrEavesXLSanOT"/>
          <w:b w:val="1"/>
          <w:bCs w:val="1"/>
          <w:sz w:val="22"/>
          <w:szCs w:val="22"/>
        </w:rPr>
      </w:pPr>
      <w:r w:rsidRPr="4B50D263" w:rsidR="483C3448">
        <w:rPr>
          <w:rFonts w:ascii="MrEavesXLSanOT" w:hAnsi="MrEavesXLSanOT"/>
          <w:b w:val="1"/>
          <w:bCs w:val="1"/>
          <w:sz w:val="22"/>
          <w:szCs w:val="22"/>
        </w:rPr>
        <w:t>Sept</w:t>
      </w:r>
      <w:r w:rsidRPr="4B50D263" w:rsidR="19D3B508">
        <w:rPr>
          <w:rFonts w:ascii="MrEavesXLSanOT" w:hAnsi="MrEavesXLSanOT"/>
          <w:b w:val="1"/>
          <w:bCs w:val="1"/>
          <w:sz w:val="22"/>
          <w:szCs w:val="22"/>
        </w:rPr>
        <w:t>ember</w:t>
      </w:r>
      <w:r w:rsidRPr="4B50D263" w:rsidR="64AC8973">
        <w:rPr>
          <w:rFonts w:ascii="MrEavesXLSanOT" w:hAnsi="MrEavesXLSanOT"/>
          <w:b w:val="1"/>
          <w:bCs w:val="1"/>
          <w:sz w:val="22"/>
          <w:szCs w:val="22"/>
        </w:rPr>
        <w:t xml:space="preserve"> 2025</w:t>
      </w:r>
    </w:p>
    <w:p xmlns:wp14="http://schemas.microsoft.com/office/word/2010/wordml" w:rsidRPr="00385AF2" w:rsidR="007A5A10" w:rsidP="007A5A10" w:rsidRDefault="007A5A10" w14:paraId="672A6659" wp14:textId="77777777">
      <w:pPr>
        <w:jc w:val="both"/>
        <w:rPr>
          <w:rFonts w:ascii="MrEavesXLSanOT" w:hAnsi="MrEavesXLSanOT"/>
        </w:rPr>
      </w:pPr>
    </w:p>
    <w:p xmlns:wp14="http://schemas.microsoft.com/office/word/2010/wordml" w:rsidRPr="00385AF2" w:rsidR="007A5A10" w:rsidP="5F741BE4" w:rsidRDefault="007A5A10" w14:paraId="3E7A9F1C" wp14:textId="77777777">
      <w:pPr>
        <w:jc w:val="both"/>
        <w:rPr>
          <w:rFonts w:ascii="MrEavesXLSanOT" w:hAnsi="MrEavesXLSanOT"/>
          <w:b w:val="0"/>
          <w:bCs w:val="0"/>
          <w:color w:val="550A4B"/>
          <w:sz w:val="22"/>
          <w:szCs w:val="22"/>
        </w:rPr>
      </w:pPr>
      <w:r w:rsidRPr="5F741BE4" w:rsidR="007A5A10">
        <w:rPr>
          <w:rFonts w:ascii="MrEavesXLSanOT" w:hAnsi="MrEavesXLSanOT"/>
          <w:b w:val="1"/>
          <w:bCs w:val="1"/>
          <w:color w:val="550A4B"/>
          <w:sz w:val="22"/>
          <w:szCs w:val="22"/>
        </w:rPr>
        <w:t>Introduction</w:t>
      </w:r>
    </w:p>
    <w:p xmlns:wp14="http://schemas.microsoft.com/office/word/2010/wordml" w:rsidRPr="00385AF2" w:rsidR="007A5A10" w:rsidP="5F741BE4" w:rsidRDefault="007A5A10" w14:paraId="08DE3940" wp14:textId="481C5F06">
      <w:pPr>
        <w:pStyle w:val="NoSpacing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This policy sets out the principles for safeguarding within </w:t>
      </w:r>
      <w:r w:rsidRPr="5F741BE4" w:rsidR="54798768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5F741BE4" w:rsidR="58189ED2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</w:p>
    <w:p xmlns:wp14="http://schemas.microsoft.com/office/word/2010/wordml" w:rsidRPr="00385AF2" w:rsidR="007A5A10" w:rsidP="5F741BE4" w:rsidRDefault="007A5A10" w14:paraId="50BC7CEB" wp14:textId="012D41BF">
      <w:pPr>
        <w:pStyle w:val="NoSpacing"/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</w:pP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It is relevant to all within the association and is endorsed by the </w:t>
      </w:r>
      <w:r w:rsidRPr="5F741BE4" w:rsidR="345D4B5A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 of </w:t>
      </w:r>
      <w:r w:rsidRPr="5F741BE4" w:rsidR="1836F614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5F741BE4" w:rsidR="0446AC52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R="00385AF2" w:rsidP="5F741BE4" w:rsidRDefault="00385AF2" w14:paraId="5DAB6C7B" wp14:textId="10C4972B">
      <w:pPr>
        <w:pStyle w:val="NoSpacing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7A5A10" w:rsidP="5F741BE4" w:rsidRDefault="007A5A10" w14:paraId="0719A626" wp14:textId="77777777">
      <w:pPr>
        <w:pStyle w:val="NoSpacing"/>
        <w:rPr>
          <w:rFonts w:ascii="MrEavesXLSanOT" w:hAnsi="MrEavesXLSanOT"/>
          <w:b w:val="0"/>
          <w:bCs w:val="0"/>
          <w:color w:val="550A4B"/>
          <w:sz w:val="22"/>
          <w:szCs w:val="22"/>
        </w:rPr>
      </w:pPr>
      <w:r w:rsidRPr="5F741BE4" w:rsidR="007A5A10">
        <w:rPr>
          <w:rFonts w:ascii="MrEavesXLSanOT" w:hAnsi="MrEavesXLSanOT"/>
          <w:b w:val="1"/>
          <w:bCs w:val="1"/>
          <w:color w:val="550A4B"/>
          <w:sz w:val="22"/>
          <w:szCs w:val="22"/>
        </w:rPr>
        <w:t>Responsibility</w:t>
      </w:r>
    </w:p>
    <w:p xmlns:wp14="http://schemas.microsoft.com/office/word/2010/wordml" w:rsidRPr="00385AF2" w:rsidR="00385AF2" w:rsidP="5F741BE4" w:rsidRDefault="00385AF2" w14:paraId="02EB378F" wp14:textId="77777777">
      <w:pPr>
        <w:pStyle w:val="NoSpacing"/>
        <w:rPr>
          <w:rFonts w:ascii="MrEavesXLSanOT" w:hAnsi="MrEavesXLSanOT"/>
          <w:b w:val="0"/>
          <w:bCs w:val="0"/>
          <w:sz w:val="22"/>
          <w:szCs w:val="22"/>
        </w:rPr>
      </w:pPr>
      <w:bookmarkStart w:name="_GoBack" w:id="0"/>
      <w:bookmarkEnd w:id="0"/>
    </w:p>
    <w:p xmlns:wp14="http://schemas.microsoft.com/office/word/2010/wordml" w:rsidRPr="00385AF2" w:rsidR="007A5A10" w:rsidP="5F741BE4" w:rsidRDefault="00F65205" w14:paraId="61F9C210" wp14:textId="1D12938B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76A02CE6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>ha</w:t>
      </w:r>
      <w:r w:rsidRPr="5F741BE4" w:rsidR="4A076638">
        <w:rPr>
          <w:rFonts w:ascii="MrEavesXLSanOT" w:hAnsi="MrEavesXLSanOT"/>
          <w:b w:val="0"/>
          <w:bCs w:val="0"/>
          <w:sz w:val="22"/>
          <w:szCs w:val="22"/>
        </w:rPr>
        <w:t>s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 a duty of care to consider the safety of children and vulnerable adults. This should be taken into considera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 xml:space="preserve">tion when risk assessing a </w:t>
      </w:r>
      <w:r w:rsidRPr="5F741BE4" w:rsidR="4794FCA1">
        <w:rPr>
          <w:rFonts w:ascii="MrEavesXLSanOT" w:hAnsi="MrEavesXLSanOT"/>
          <w:b w:val="0"/>
          <w:bCs w:val="0"/>
          <w:sz w:val="22"/>
          <w:szCs w:val="22"/>
        </w:rPr>
        <w:t>MP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>A e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>vent and the duration of such events.</w:t>
      </w:r>
    </w:p>
    <w:p xmlns:wp14="http://schemas.microsoft.com/office/word/2010/wordml" w:rsidRPr="00385AF2" w:rsidR="007A5A10" w:rsidP="5F741BE4" w:rsidRDefault="007A5A10" w14:paraId="1FF87181" wp14:textId="383B3999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It is best practice for </w:t>
      </w:r>
      <w:r w:rsidRPr="5F741BE4" w:rsidR="367D6339">
        <w:rPr>
          <w:rFonts w:ascii="MrEavesXLSanOT" w:hAnsi="MrEavesXLSanOT"/>
          <w:b w:val="0"/>
          <w:bCs w:val="0"/>
          <w:sz w:val="22"/>
          <w:szCs w:val="22"/>
        </w:rPr>
        <w:t>the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5F741BE4" w:rsidR="367D6339">
        <w:rPr>
          <w:rFonts w:ascii="MrEavesXLSanOT" w:hAnsi="MrEavesXLSanOT"/>
          <w:b w:val="0"/>
          <w:bCs w:val="0"/>
          <w:sz w:val="22"/>
          <w:szCs w:val="22"/>
        </w:rPr>
        <w:t xml:space="preserve">MPA 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>to have a set of procedures in place and guidelines for volunteers to follow at events, this may be developed with guidance from the school</w:t>
      </w:r>
    </w:p>
    <w:p xmlns:wp14="http://schemas.microsoft.com/office/word/2010/wordml" w:rsidR="00156A25" w:rsidP="5F741BE4" w:rsidRDefault="007A5A10" w14:paraId="09DE3C59" wp14:textId="326B3E3C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All </w:t>
      </w:r>
      <w:r w:rsidRPr="5F741BE4" w:rsidR="00684123">
        <w:rPr>
          <w:rFonts w:ascii="MrEavesXLSanOT" w:hAnsi="MrEavesXLSanOT"/>
          <w:b w:val="0"/>
          <w:bCs w:val="0"/>
          <w:sz w:val="22"/>
          <w:szCs w:val="22"/>
        </w:rPr>
        <w:t xml:space="preserve">MPA </w:t>
      </w:r>
      <w:r w:rsidRPr="5F741BE4" w:rsidR="007A5A10">
        <w:rPr>
          <w:rFonts w:ascii="MrEavesXLSanOT" w:hAnsi="MrEavesXLSanOT"/>
          <w:b w:val="0"/>
          <w:bCs w:val="0"/>
          <w:sz w:val="22"/>
          <w:szCs w:val="22"/>
        </w:rPr>
        <w:t xml:space="preserve">members should be aware of the person responsible for safeguarding within the school. The school may provide training 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for </w:t>
      </w:r>
      <w:r w:rsidRPr="5F741BE4" w:rsidR="373744FD">
        <w:rPr>
          <w:rFonts w:ascii="MrEavesXLSanOT" w:hAnsi="MrEavesXLSanOT"/>
          <w:b w:val="0"/>
          <w:bCs w:val="0"/>
          <w:sz w:val="22"/>
          <w:szCs w:val="22"/>
        </w:rPr>
        <w:t>MPA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 members on safeguarding and the procedures to 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>follow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 or 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>the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5F741BE4" w:rsidR="32E699B3">
        <w:rPr>
          <w:rFonts w:ascii="MrEavesXLSanOT" w:hAnsi="MrEavesXLSanOT"/>
          <w:b w:val="0"/>
          <w:bCs w:val="0"/>
          <w:sz w:val="22"/>
          <w:szCs w:val="22"/>
        </w:rPr>
        <w:t>MPA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 may arrange their own training for its volunteers</w:t>
      </w:r>
      <w:r w:rsidRPr="5F741BE4" w:rsidR="40A387F3">
        <w:rPr>
          <w:rFonts w:ascii="MrEavesXLSanOT" w:hAnsi="MrEavesXLSanOT"/>
          <w:b w:val="0"/>
          <w:bCs w:val="0"/>
          <w:sz w:val="22"/>
          <w:szCs w:val="22"/>
        </w:rPr>
        <w:t>.</w:t>
      </w:r>
    </w:p>
    <w:p w:rsidR="40A387F3" w:rsidP="5F741BE4" w:rsidRDefault="40A387F3" w14:paraId="127F3049" w14:textId="6E0AF1FB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40A387F3">
        <w:rPr>
          <w:rFonts w:ascii="MrEavesXLSanOT" w:hAnsi="MrEavesXLSanOT"/>
          <w:b w:val="0"/>
          <w:bCs w:val="0"/>
          <w:sz w:val="22"/>
          <w:szCs w:val="22"/>
        </w:rPr>
        <w:t xml:space="preserve">The schools Designated Safeguarding Lead is Matthew Loosemore. </w:t>
      </w:r>
      <w:r w:rsidRPr="5F741BE4" w:rsidR="79DA898C">
        <w:rPr>
          <w:rFonts w:ascii="MrEavesXLSanOT" w:hAnsi="MrEavesXLSanOT"/>
          <w:b w:val="0"/>
          <w:bCs w:val="0"/>
          <w:sz w:val="22"/>
          <w:szCs w:val="22"/>
        </w:rPr>
        <w:t>T</w:t>
      </w:r>
      <w:r w:rsidRPr="5F741BE4" w:rsidR="40A387F3">
        <w:rPr>
          <w:rFonts w:ascii="MrEavesXLSanOT" w:hAnsi="MrEavesXLSanOT"/>
          <w:b w:val="0"/>
          <w:bCs w:val="0"/>
          <w:sz w:val="22"/>
          <w:szCs w:val="22"/>
        </w:rPr>
        <w:t xml:space="preserve">he Deputy Designated Safeguarding Leads are Liz </w:t>
      </w:r>
      <w:r w:rsidRPr="5F741BE4" w:rsidR="40A387F3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Gregory</w:t>
      </w:r>
      <w:r w:rsidRPr="5F741BE4" w:rsidR="5259F991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,</w:t>
      </w:r>
      <w:r w:rsidRPr="5F741BE4" w:rsidR="40A387F3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 Sarah Lavis</w:t>
      </w:r>
      <w:r w:rsidRPr="5F741BE4" w:rsidR="57C153F2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,</w:t>
      </w:r>
      <w:r w:rsidRPr="5F741BE4" w:rsidR="40A387F3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 Katie Greenwood (DSL for EYFS</w:t>
      </w:r>
      <w:r w:rsidRPr="5F741BE4" w:rsidR="40A387F3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)</w:t>
      </w:r>
      <w:r w:rsidRPr="5F741BE4" w:rsidR="40A387F3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 and Caroline Leigh.</w:t>
      </w:r>
    </w:p>
    <w:p xmlns:wp14="http://schemas.microsoft.com/office/word/2010/wordml" w:rsidRPr="00385AF2" w:rsidR="00385AF2" w:rsidP="5F741BE4" w:rsidRDefault="00385AF2" w14:paraId="6A05A809" wp14:textId="1D5E337E">
      <w:pPr>
        <w:jc w:val="both"/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</w:pPr>
      <w:r w:rsidRPr="5F741BE4" w:rsidR="40A387F3">
        <w:rPr>
          <w:rFonts w:ascii="MrEavesXLSanOT" w:hAnsi="MrEavesXLSanOT"/>
          <w:b w:val="0"/>
          <w:bCs w:val="0"/>
          <w:sz w:val="22"/>
          <w:szCs w:val="22"/>
        </w:rPr>
        <w:t xml:space="preserve">The </w:t>
      </w:r>
      <w:r w:rsidRPr="5F741BE4" w:rsidR="6C021F15">
        <w:rPr>
          <w:rFonts w:ascii="MrEavesXLSanOT" w:hAnsi="MrEavesXLSanOT"/>
          <w:b w:val="0"/>
          <w:bCs w:val="0"/>
          <w:sz w:val="22"/>
          <w:szCs w:val="22"/>
        </w:rPr>
        <w:t>schools</w:t>
      </w:r>
      <w:r w:rsidRPr="5F741BE4" w:rsidR="40A387F3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5F741BE4" w:rsidR="22DC2F7A">
        <w:rPr>
          <w:rFonts w:ascii="MrEavesXLSanOT" w:hAnsi="MrEavesXLSanOT"/>
          <w:b w:val="0"/>
          <w:bCs w:val="0"/>
          <w:sz w:val="22"/>
          <w:szCs w:val="22"/>
        </w:rPr>
        <w:t>safeguarding</w:t>
      </w:r>
      <w:r w:rsidRPr="5F741BE4" w:rsidR="40A387F3">
        <w:rPr>
          <w:rFonts w:ascii="MrEavesXLSanOT" w:hAnsi="MrEavesXLSanOT"/>
          <w:b w:val="0"/>
          <w:bCs w:val="0"/>
          <w:sz w:val="22"/>
          <w:szCs w:val="22"/>
        </w:rPr>
        <w:t xml:space="preserve"> policy can be found here </w:t>
      </w:r>
      <w:hyperlink r:id="R065a4a307cef4c60">
        <w:r w:rsidRPr="5F741BE4" w:rsidR="40A387F3">
          <w:rPr>
            <w:rStyle w:val="Hyperlink"/>
            <w:rFonts w:ascii="MrEavesXLSanOT" w:hAnsi="MrEavesXLSanOT" w:eastAsia="MrEavesXLSanOT" w:cs="MrEavesXLSanOT"/>
            <w:b w:val="0"/>
            <w:bCs w:val="0"/>
            <w:noProof w:val="0"/>
            <w:sz w:val="22"/>
            <w:szCs w:val="22"/>
            <w:lang w:val="en-GB"/>
          </w:rPr>
          <w:t>6.10-Safeguarding-and-Child-Protection-2024-25.pdf</w:t>
        </w:r>
      </w:hyperlink>
    </w:p>
    <w:p xmlns:wp14="http://schemas.microsoft.com/office/word/2010/wordml" w:rsidRPr="00385AF2" w:rsidR="00384FB8" w:rsidP="5F741BE4" w:rsidRDefault="00156A25" w14:paraId="71C7561F" wp14:textId="77777777">
      <w:pPr>
        <w:jc w:val="both"/>
        <w:rPr>
          <w:rFonts w:ascii="MrEavesXLSanOT" w:hAnsi="MrEavesXLSanOT"/>
          <w:b w:val="0"/>
          <w:bCs w:val="0"/>
          <w:color w:val="550A4B"/>
          <w:sz w:val="22"/>
          <w:szCs w:val="22"/>
        </w:rPr>
      </w:pPr>
      <w:r w:rsidRPr="5F741BE4" w:rsidR="00156A25">
        <w:rPr>
          <w:rFonts w:ascii="MrEavesXLSanOT" w:hAnsi="MrEavesXLSanOT"/>
          <w:b w:val="1"/>
          <w:bCs w:val="1"/>
          <w:color w:val="550A4B"/>
          <w:sz w:val="22"/>
          <w:szCs w:val="22"/>
        </w:rPr>
        <w:t>What to do if you have concerns about a child</w:t>
      </w:r>
    </w:p>
    <w:p xmlns:wp14="http://schemas.microsoft.com/office/word/2010/wordml" w:rsidRPr="00385AF2" w:rsidR="00384FB8" w:rsidP="5F741BE4" w:rsidRDefault="00156A25" w14:paraId="0D1353CA" wp14:textId="77777777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You may have concerns about a child because of something you have seen or 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>heard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 or a child may choose to 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>disclose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 something to you.</w:t>
      </w:r>
    </w:p>
    <w:p xmlns:wp14="http://schemas.microsoft.com/office/word/2010/wordml" w:rsidRPr="00385AF2" w:rsidR="00156A25" w:rsidP="5F741BE4" w:rsidRDefault="00075CCF" w14:paraId="4507F293" wp14:textId="77777777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If a child 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discloses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 xml:space="preserve"> information to you, you should:</w:t>
      </w:r>
    </w:p>
    <w:p xmlns:wp14="http://schemas.microsoft.com/office/word/2010/wordml" w:rsidR="00075CCF" w:rsidP="5F741BE4" w:rsidRDefault="00075CCF" w14:paraId="0F0CC933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Listen to the child without displaying shock or disbelief</w:t>
      </w:r>
    </w:p>
    <w:p xmlns:wp14="http://schemas.microsoft.com/office/word/2010/wordml" w:rsidRPr="00385AF2" w:rsidR="00385AF2" w:rsidP="5F741BE4" w:rsidRDefault="00385AF2" w14:paraId="5A39BBE3" wp14:textId="77777777">
      <w:pPr>
        <w:pStyle w:val="ListParagraph"/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075CCF" w14:paraId="65E0F6D0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Accept what is said and reassure the child, do not make promises that you may not be able to 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keep ,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>e.g.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‘Everything will be alright now’</w:t>
      </w:r>
    </w:p>
    <w:p xmlns:wp14="http://schemas.microsoft.com/office/word/2010/wordml" w:rsidRPr="00385AF2" w:rsidR="00385AF2" w:rsidP="5F741BE4" w:rsidRDefault="00385AF2" w14:paraId="41C8F396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075CCF" w14:paraId="4610208D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Do not ask leading questions and do not interrogate the child – this is not your responsibility to investigate</w:t>
      </w:r>
    </w:p>
    <w:p xmlns:wp14="http://schemas.microsoft.com/office/word/2010/wordml" w:rsidRPr="00385AF2" w:rsidR="00385AF2" w:rsidP="5F741BE4" w:rsidRDefault="00385AF2" w14:paraId="72A3D3EC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075CCF" w14:paraId="4DA75FA4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Explain to the child what you 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have to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do next and who you 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have to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talk to</w:t>
      </w:r>
    </w:p>
    <w:p xmlns:wp14="http://schemas.microsoft.com/office/word/2010/wordml" w:rsidRPr="00385AF2" w:rsidR="00385AF2" w:rsidP="5F741BE4" w:rsidRDefault="00385AF2" w14:paraId="0D0B940D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075CCF" w14:paraId="3900A3C8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Take notes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>,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if possible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>,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or write up the conversation as soon as possible afterwards </w:t>
      </w:r>
    </w:p>
    <w:p xmlns:wp14="http://schemas.microsoft.com/office/word/2010/wordml" w:rsidRPr="00385AF2" w:rsidR="00385AF2" w:rsidP="5F741BE4" w:rsidRDefault="00385AF2" w14:paraId="0E27B00A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075CCF" w:rsidP="5F741BE4" w:rsidRDefault="00075CCF" w14:paraId="749DAA6E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Contact the school safeguarding officer or a member of the school leadership team as soon as possible </w:t>
      </w:r>
    </w:p>
    <w:p xmlns:wp14="http://schemas.microsoft.com/office/word/2010/wordml" w:rsidRPr="00385AF2" w:rsidR="00385AF2" w:rsidP="5F741BE4" w:rsidRDefault="00385AF2" w14:paraId="60061E4C" wp14:textId="77777777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85AF2" w:rsidR="00384FB8" w:rsidP="5F741BE4" w:rsidRDefault="00384FB8" w14:paraId="32A497DE" wp14:textId="77777777">
      <w:pPr>
        <w:jc w:val="both"/>
        <w:rPr>
          <w:rFonts w:ascii="MrEavesXLSanOT" w:hAnsi="MrEavesXLSanOT"/>
          <w:b w:val="0"/>
          <w:bCs w:val="0"/>
          <w:color w:val="550A4B"/>
          <w:sz w:val="22"/>
          <w:szCs w:val="22"/>
        </w:rPr>
      </w:pPr>
      <w:r w:rsidRPr="5F741BE4" w:rsidR="00384FB8">
        <w:rPr>
          <w:rFonts w:ascii="MrEavesXLSanOT" w:hAnsi="MrEavesXLSanOT"/>
          <w:b w:val="1"/>
          <w:bCs w:val="1"/>
          <w:color w:val="550A4B"/>
          <w:sz w:val="22"/>
          <w:szCs w:val="22"/>
        </w:rPr>
        <w:t>Guidance for Events</w:t>
      </w:r>
      <w:r w:rsidRPr="5F741BE4" w:rsidR="00F65205">
        <w:rPr>
          <w:rFonts w:ascii="MrEavesXLSanOT" w:hAnsi="MrEavesXLSanOT"/>
          <w:b w:val="0"/>
          <w:bCs w:val="0"/>
          <w:color w:val="550A4B"/>
          <w:sz w:val="22"/>
          <w:szCs w:val="22"/>
        </w:rPr>
        <w:t>:</w:t>
      </w:r>
    </w:p>
    <w:p xmlns:wp14="http://schemas.microsoft.com/office/word/2010/wordml" w:rsidR="00384FB8" w:rsidP="5F741BE4" w:rsidRDefault="00384FB8" w14:paraId="49DE5428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>All Events should be risk assessed</w:t>
      </w:r>
    </w:p>
    <w:p xmlns:wp14="http://schemas.microsoft.com/office/word/2010/wordml" w:rsidRPr="00385AF2" w:rsidR="00385AF2" w:rsidP="5F741BE4" w:rsidRDefault="00385AF2" w14:paraId="44EAFD9C" wp14:textId="77777777">
      <w:pPr>
        <w:pStyle w:val="ListParagraph"/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384FB8" w14:paraId="569B516D" wp14:textId="3EBC36AD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Events where children are dropped off and collected – a register should be 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>available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 and children should be checked in and out of the event. The </w:t>
      </w:r>
      <w:r w:rsidRPr="5F741BE4" w:rsidR="74538F1E">
        <w:rPr>
          <w:rFonts w:ascii="MrEavesXLSanOT" w:hAnsi="MrEavesXLSanOT"/>
          <w:b w:val="0"/>
          <w:bCs w:val="0"/>
          <w:sz w:val="22"/>
          <w:szCs w:val="22"/>
        </w:rPr>
        <w:t>MPA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 should have a list of any child being collected by another parent/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carer or 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 xml:space="preserve">travelling 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home </w:t>
      </w:r>
      <w:r w:rsidRPr="5F741BE4" w:rsidR="00384FB8">
        <w:rPr>
          <w:rFonts w:ascii="MrEavesXLSanOT" w:hAnsi="MrEavesXLSanOT"/>
          <w:b w:val="0"/>
          <w:bCs w:val="0"/>
          <w:sz w:val="22"/>
          <w:szCs w:val="22"/>
        </w:rPr>
        <w:t>alone</w:t>
      </w:r>
    </w:p>
    <w:p xmlns:wp14="http://schemas.microsoft.com/office/word/2010/wordml" w:rsidRPr="00385AF2" w:rsidR="00385AF2" w:rsidP="5F741BE4" w:rsidRDefault="00385AF2" w14:paraId="4B94D5A5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156A25" w14:paraId="1F02230A" wp14:textId="032415F9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Contact details for the child’s parent/carer may be collated by the </w:t>
      </w:r>
      <w:r w:rsidRPr="5F741BE4" w:rsidR="2AB40E92">
        <w:rPr>
          <w:rFonts w:ascii="MrEavesXLSanOT" w:hAnsi="MrEavesXLSanOT"/>
          <w:b w:val="0"/>
          <w:bCs w:val="0"/>
          <w:sz w:val="22"/>
          <w:szCs w:val="22"/>
        </w:rPr>
        <w:t xml:space="preserve">MPA 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>for the event</w:t>
      </w:r>
    </w:p>
    <w:p xmlns:wp14="http://schemas.microsoft.com/office/word/2010/wordml" w:rsidRPr="00385AF2" w:rsidR="00385AF2" w:rsidP="5F741BE4" w:rsidRDefault="00385AF2" w14:paraId="3DEEC669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85AF2" w:rsidP="5F741BE4" w:rsidRDefault="00156A25" w14:paraId="09919522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Exits should be 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>monitored</w:t>
      </w:r>
      <w:r w:rsidRPr="5F741BE4" w:rsidR="00156A25">
        <w:rPr>
          <w:rFonts w:ascii="MrEavesXLSanOT" w:hAnsi="MrEavesXLSanOT"/>
          <w:b w:val="0"/>
          <w:bCs w:val="0"/>
          <w:sz w:val="22"/>
          <w:szCs w:val="22"/>
        </w:rPr>
        <w:t xml:space="preserve"> to ensure children cannot leave an event unattended</w:t>
      </w:r>
    </w:p>
    <w:p xmlns:wp14="http://schemas.microsoft.com/office/word/2010/wordml" w:rsidRPr="00385AF2" w:rsidR="00385AF2" w:rsidP="5F741BE4" w:rsidRDefault="00385AF2" w14:paraId="3656B9AB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85AF2" w:rsidR="00075CCF" w:rsidP="5F741BE4" w:rsidRDefault="00075CCF" w14:paraId="5DEE9D19" wp14:textId="6DEC11F2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>If this is a regulated activity volunteer</w:t>
      </w:r>
      <w:r w:rsidRPr="5F741BE4" w:rsidR="599179B4">
        <w:rPr>
          <w:rFonts w:ascii="MrEavesXLSanOT" w:hAnsi="MrEavesXLSanOT"/>
          <w:b w:val="0"/>
          <w:bCs w:val="0"/>
          <w:sz w:val="22"/>
          <w:szCs w:val="22"/>
        </w:rPr>
        <w:t>s</w:t>
      </w:r>
      <w:r w:rsidRPr="5F741BE4" w:rsidR="00075CCF">
        <w:rPr>
          <w:rFonts w:ascii="MrEavesXLSanOT" w:hAnsi="MrEavesXLSanOT"/>
          <w:b w:val="0"/>
          <w:bCs w:val="0"/>
          <w:sz w:val="22"/>
          <w:szCs w:val="22"/>
        </w:rPr>
        <w:t xml:space="preserve"> will need an Enhanced DBS check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>.</w:t>
      </w:r>
    </w:p>
    <w:p xmlns:wp14="http://schemas.microsoft.com/office/word/2010/wordml" w:rsidR="00385AF2" w:rsidP="5F741BE4" w:rsidRDefault="00385AF2" w14:paraId="049F31CB" wp14:textId="2789DA21">
      <w:pPr>
        <w:pStyle w:val="Normal"/>
        <w:ind w:left="360"/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85AF2" w:rsidR="00156A25" w:rsidP="5F741BE4" w:rsidRDefault="008A3162" w14:paraId="697D0960" wp14:textId="099ACFB1">
      <w:pPr>
        <w:rPr>
          <w:rFonts w:ascii="MrEavesXLSanOT" w:hAnsi="MrEavesXLSanOT"/>
          <w:b w:val="0"/>
          <w:bCs w:val="0"/>
          <w:sz w:val="22"/>
          <w:szCs w:val="22"/>
        </w:rPr>
      </w:pPr>
      <w:r w:rsidRPr="5F741BE4" w:rsidR="008A3162">
        <w:rPr>
          <w:rFonts w:ascii="MrEavesXLSanOT" w:hAnsi="MrEavesXLSanOT"/>
          <w:b w:val="0"/>
          <w:bCs w:val="0"/>
          <w:sz w:val="22"/>
          <w:szCs w:val="22"/>
        </w:rPr>
        <w:t xml:space="preserve">This policy will be reviewed by the </w:t>
      </w:r>
      <w:r w:rsidRPr="5F741BE4" w:rsidR="6C3075C9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</w:t>
      </w:r>
      <w:r w:rsidRPr="5F741BE4" w:rsidR="6C3075C9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 Maynard Parents Association </w:t>
      </w:r>
      <w:r w:rsidRPr="5F741BE4" w:rsidR="6C3075C9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5F741BE4" w:rsidR="008A3162">
        <w:rPr>
          <w:rFonts w:ascii="MrEavesXLSanOT" w:hAnsi="MrEavesXLSanOT"/>
          <w:b w:val="0"/>
          <w:bCs w:val="0"/>
          <w:sz w:val="22"/>
          <w:szCs w:val="22"/>
        </w:rPr>
        <w:t xml:space="preserve"> annually before the AGM</w:t>
      </w:r>
      <w:r w:rsidRPr="5F741BE4" w:rsidR="00F65205">
        <w:rPr>
          <w:rFonts w:ascii="MrEavesXLSanOT" w:hAnsi="MrEavesXLSanOT"/>
          <w:b w:val="0"/>
          <w:bCs w:val="0"/>
          <w:sz w:val="22"/>
          <w:szCs w:val="22"/>
        </w:rPr>
        <w:t>.</w:t>
      </w:r>
    </w:p>
    <w:p xmlns:wp14="http://schemas.microsoft.com/office/word/2010/wordml" w:rsidRPr="00385AF2" w:rsidR="008A3162" w:rsidP="5F741BE4" w:rsidRDefault="008A3162" w14:paraId="53128261" wp14:textId="77777777">
      <w:pPr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85AF2" w:rsidR="008A3162" w:rsidP="5F741BE4" w:rsidRDefault="008A3162" w14:paraId="493AF6BD" wp14:textId="77777777">
      <w:pPr>
        <w:rPr>
          <w:rFonts w:ascii="MrEavesXLSanOT" w:hAnsi="MrEavesXLSanOT"/>
          <w:b w:val="0"/>
          <w:bCs w:val="0"/>
          <w:color w:val="550A4B"/>
          <w:sz w:val="22"/>
          <w:szCs w:val="22"/>
        </w:rPr>
      </w:pPr>
      <w:r w:rsidRPr="5F741BE4" w:rsidR="008A3162">
        <w:rPr>
          <w:rFonts w:ascii="MrEavesXLSanOT" w:hAnsi="MrEavesXLSanOT"/>
          <w:b w:val="0"/>
          <w:bCs w:val="0"/>
          <w:color w:val="550A4B"/>
          <w:sz w:val="22"/>
          <w:szCs w:val="22"/>
        </w:rPr>
        <w:t>Useful Links</w:t>
      </w:r>
    </w:p>
    <w:p xmlns:wp14="http://schemas.microsoft.com/office/word/2010/wordml" w:rsidRPr="00385AF2" w:rsidR="008A3162" w:rsidP="5F741BE4" w:rsidRDefault="00385AF2" w14:paraId="5B7D74E6" wp14:textId="77777777">
      <w:pPr>
        <w:rPr>
          <w:rFonts w:ascii="MrEavesXLSanOT" w:hAnsi="MrEavesXLSanOT"/>
          <w:b w:val="0"/>
          <w:bCs w:val="0"/>
          <w:sz w:val="22"/>
          <w:szCs w:val="22"/>
        </w:rPr>
      </w:pPr>
      <w:hyperlink r:id="Rdd96a27283c14e20">
        <w:r w:rsidRPr="5F741BE4" w:rsidR="008A3162">
          <w:rPr>
            <w:rStyle w:val="Hyperlink"/>
            <w:rFonts w:ascii="MrEavesXLSanOT" w:hAnsi="MrEavesXLSanOT"/>
            <w:b w:val="0"/>
            <w:bCs w:val="0"/>
            <w:sz w:val="22"/>
            <w:szCs w:val="22"/>
          </w:rPr>
          <w:t>https://www.parentkind.org.uk/Info-sheets/Volunteer-checks</w:t>
        </w:r>
      </w:hyperlink>
    </w:p>
    <w:sectPr w:rsidRPr="00385AF2" w:rsidR="008A3162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85AF2" w:rsidP="00385AF2" w:rsidRDefault="00385AF2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85AF2" w:rsidP="00385AF2" w:rsidRDefault="00385AF2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rEavesXLSanOT">
    <w:panose1 w:val="020B0603060502020204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85AF2" w:rsidRDefault="00385AF2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85AF2" w:rsidP="00385AF2" w:rsidRDefault="00385AF2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85AF2" w:rsidP="00385AF2" w:rsidRDefault="00385AF2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385AF2" w:rsidRDefault="00385AF2" w14:paraId="62486C05" wp14:textId="77777777">
    <w:pPr>
      <w:pStyle w:val="Head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CD8A465" wp14:editId="7777777">
          <wp:extent cx="774065" cy="207010"/>
          <wp:effectExtent l="0" t="0" r="698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94169"/>
    <w:multiLevelType w:val="hybridMultilevel"/>
    <w:tmpl w:val="46D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034BB5"/>
    <w:multiLevelType w:val="hybridMultilevel"/>
    <w:tmpl w:val="A42EE2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10"/>
    <w:rsid w:val="00075CCF"/>
    <w:rsid w:val="00156A25"/>
    <w:rsid w:val="00384FB8"/>
    <w:rsid w:val="00385AF2"/>
    <w:rsid w:val="00684123"/>
    <w:rsid w:val="007A5A10"/>
    <w:rsid w:val="008A3162"/>
    <w:rsid w:val="00CE9E88"/>
    <w:rsid w:val="00DA7A30"/>
    <w:rsid w:val="00F65205"/>
    <w:rsid w:val="019EDD95"/>
    <w:rsid w:val="02D4E1DF"/>
    <w:rsid w:val="0446AC52"/>
    <w:rsid w:val="06CBA2D3"/>
    <w:rsid w:val="07DDFF1B"/>
    <w:rsid w:val="0B7F0565"/>
    <w:rsid w:val="12DE44DD"/>
    <w:rsid w:val="13D55D32"/>
    <w:rsid w:val="1836F614"/>
    <w:rsid w:val="19D3B508"/>
    <w:rsid w:val="1A442D73"/>
    <w:rsid w:val="1B86BEE1"/>
    <w:rsid w:val="22DC2F7A"/>
    <w:rsid w:val="2AB40E92"/>
    <w:rsid w:val="32E699B3"/>
    <w:rsid w:val="3342A44A"/>
    <w:rsid w:val="345D4B5A"/>
    <w:rsid w:val="367D6339"/>
    <w:rsid w:val="373744FD"/>
    <w:rsid w:val="40A387F3"/>
    <w:rsid w:val="40B27870"/>
    <w:rsid w:val="4107D124"/>
    <w:rsid w:val="42B9562B"/>
    <w:rsid w:val="4794FCA1"/>
    <w:rsid w:val="47C4BF6F"/>
    <w:rsid w:val="483C3448"/>
    <w:rsid w:val="4A076638"/>
    <w:rsid w:val="4B50D263"/>
    <w:rsid w:val="5259F991"/>
    <w:rsid w:val="5350FB37"/>
    <w:rsid w:val="54798768"/>
    <w:rsid w:val="57C153F2"/>
    <w:rsid w:val="58189ED2"/>
    <w:rsid w:val="599179B4"/>
    <w:rsid w:val="5B13F443"/>
    <w:rsid w:val="5F741BE4"/>
    <w:rsid w:val="60AB7424"/>
    <w:rsid w:val="64AC8973"/>
    <w:rsid w:val="6C021F15"/>
    <w:rsid w:val="6C3075C9"/>
    <w:rsid w:val="6DF06EFD"/>
    <w:rsid w:val="74538F1E"/>
    <w:rsid w:val="75FFEA6F"/>
    <w:rsid w:val="76A02CE6"/>
    <w:rsid w:val="77551CCA"/>
    <w:rsid w:val="79DA8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344AF1"/>
  <w15:chartTrackingRefBased/>
  <w15:docId w15:val="{52BE17BF-A8B6-4CFF-8314-1F2E7C5348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A5A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4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1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AF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5AF2"/>
  </w:style>
  <w:style w:type="paragraph" w:styleId="Footer">
    <w:name w:val="footer"/>
    <w:basedOn w:val="Normal"/>
    <w:link w:val="FooterChar"/>
    <w:uiPriority w:val="99"/>
    <w:unhideWhenUsed/>
    <w:rsid w:val="00385AF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maynard.co.uk/wp-content/uploads/2024/09/6.10-Safeguarding-and-Child-Protection-2024-25.pdf" TargetMode="External" Id="R065a4a307cef4c60" /><Relationship Type="http://schemas.openxmlformats.org/officeDocument/2006/relationships/hyperlink" Target="https://www.parentkind.org.uk/Info-sheets/Volunteer-checks" TargetMode="External" Id="Rdd96a27283c14e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6</revision>
  <dcterms:created xsi:type="dcterms:W3CDTF">2019-02-08T10:14:00.0000000Z</dcterms:created>
  <dcterms:modified xsi:type="dcterms:W3CDTF">2025-09-13T17:31:03.5496916Z</dcterms:modified>
</coreProperties>
</file>